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640" w:firstLineChars="200"/>
        <w:rPr>
          <w:rFonts w:hint="eastAsia" w:ascii="黑体" w:hAnsi="黑体" w:eastAsia="黑体" w:cs="黑体"/>
          <w:sz w:val="32"/>
          <w:szCs w:val="32"/>
        </w:rPr>
      </w:pPr>
    </w:p>
    <w:p>
      <w:pPr>
        <w:spacing w:line="480" w:lineRule="exact"/>
        <w:rPr>
          <w:rFonts w:ascii="方正小标宋简体" w:eastAsia="方正小标宋简体"/>
          <w:sz w:val="36"/>
          <w:szCs w:val="36"/>
        </w:rPr>
      </w:pPr>
      <w:r>
        <w:rPr>
          <w:rFonts w:hint="eastAsia" w:ascii="黑体" w:hAnsi="黑体" w:eastAsia="黑体"/>
          <w:sz w:val="32"/>
          <w:szCs w:val="32"/>
        </w:rPr>
        <w:t>附件</w:t>
      </w:r>
      <w:r>
        <w:rPr>
          <w:rFonts w:hint="eastAsia" w:ascii="黑体" w:hAnsi="黑体" w:eastAsia="黑体"/>
          <w:sz w:val="32"/>
          <w:szCs w:val="32"/>
          <w:lang w:val="en-US" w:eastAsia="zh-CN"/>
        </w:rPr>
        <w:t>1</w:t>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lang w:eastAsia="zh-CN"/>
        </w:rPr>
        <w:t>双井街道办事处</w:t>
      </w:r>
      <w:r>
        <w:rPr>
          <w:rFonts w:hint="eastAsia" w:ascii="方正小标宋简体" w:eastAsia="方正小标宋简体"/>
          <w:sz w:val="36"/>
          <w:szCs w:val="36"/>
        </w:rPr>
        <w:t>部门整体绩效评价报告</w:t>
      </w:r>
    </w:p>
    <w:p>
      <w:pPr>
        <w:jc w:val="center"/>
        <w:rPr>
          <w:rFonts w:ascii="仿宋_GB2312"/>
          <w:szCs w:val="30"/>
        </w:rPr>
      </w:pP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spacing w:line="600" w:lineRule="exact"/>
        <w:ind w:firstLine="640" w:firstLineChars="200"/>
        <w:rPr>
          <w:rFonts w:hint="eastAsia" w:ascii="楷体_GB2312" w:eastAsia="楷体_GB2312"/>
          <w:sz w:val="32"/>
          <w:szCs w:val="32"/>
        </w:rPr>
      </w:pPr>
      <w:r>
        <w:rPr>
          <w:rFonts w:hint="eastAsia" w:ascii="楷体_GB2312" w:eastAsia="楷体_GB2312"/>
          <w:sz w:val="32"/>
          <w:szCs w:val="32"/>
        </w:rPr>
        <w:t>（一）机构设置及职责工作任务情况</w:t>
      </w:r>
    </w:p>
    <w:p>
      <w:p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1、机构设置：</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中共北京市朝阳区委双井街道工作委员会（简称双井街道党工委）是区委的派出机关，北京市朝阳区人民政府双井街道办事处（简称双井街道办事处）是区政府的派出机关。</w:t>
      </w:r>
    </w:p>
    <w:p>
      <w:p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rPr>
        <w:t>双井街道办事处设置下列内设机构：综合办公室、党群工作办公室、平安建设办公室（司法所）、城市管理办公室、社区建设办公室、民生保障办公室及纪工委（监察组）、综合行政执法队。下属3个事业单位，分别为：便民服务中心，加挂退役军人服务站牌子；市民活动中心，加挂党群活动中心牌子；市民诉求处置中心，加挂综治中心牌子。</w:t>
      </w:r>
    </w:p>
    <w:p>
      <w:p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2、职责情况</w:t>
      </w:r>
    </w:p>
    <w:p>
      <w:p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双井街道办事处主要职责：</w:t>
      </w:r>
    </w:p>
    <w:p>
      <w:p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（1）贯彻执行法律、法规、规章和市、区政府的决定、命令，依法管理基层公共事务。</w:t>
      </w:r>
      <w:r>
        <w:rPr>
          <w:rFonts w:hint="eastAsia" w:ascii="仿宋_GB2312" w:hAnsi="宋体" w:eastAsia="仿宋_GB2312" w:cs="宋体"/>
          <w:color w:val="000000"/>
          <w:kern w:val="0"/>
          <w:sz w:val="32"/>
          <w:szCs w:val="32"/>
          <w:lang w:val="en-US" w:eastAsia="zh-CN"/>
        </w:rPr>
        <w:cr/>
      </w:r>
      <w:r>
        <w:rPr>
          <w:rFonts w:hint="eastAsia" w:ascii="仿宋_GB2312" w:hAnsi="宋体" w:eastAsia="仿宋_GB2312" w:cs="宋体"/>
          <w:color w:val="000000"/>
          <w:kern w:val="0"/>
          <w:sz w:val="32"/>
          <w:szCs w:val="32"/>
          <w:lang w:val="en-US" w:eastAsia="zh-CN"/>
        </w:rPr>
        <w:t xml:space="preserve">    （2）承担辖区市容环境卫生、绿化美化的管理工作，推进街巷长、河长制工作，组织、协调城市管理综合执法和环境秩序综合治理工作，推进城市精细化管理。</w:t>
      </w:r>
      <w:r>
        <w:rPr>
          <w:rFonts w:hint="eastAsia" w:ascii="仿宋_GB2312" w:hAnsi="宋体" w:eastAsia="仿宋_GB2312" w:cs="宋体"/>
          <w:color w:val="000000"/>
          <w:kern w:val="0"/>
          <w:sz w:val="32"/>
          <w:szCs w:val="32"/>
          <w:lang w:val="en-US" w:eastAsia="zh-CN"/>
        </w:rPr>
        <w:cr/>
      </w:r>
      <w:r>
        <w:rPr>
          <w:rFonts w:hint="eastAsia" w:ascii="仿宋_GB2312" w:hAnsi="宋体" w:eastAsia="仿宋_GB2312" w:cs="宋体"/>
          <w:color w:val="000000"/>
          <w:kern w:val="0"/>
          <w:sz w:val="32"/>
          <w:szCs w:val="32"/>
          <w:lang w:val="en-US" w:eastAsia="zh-CN"/>
        </w:rPr>
        <w:t xml:space="preserve">    （3）协助依法履行安全生产、消防安全、食品安全、环境保护、劳动保障、流动人口及出租房屋监督管理工作，承担辖区应急、防汛和防灾减灾工作。</w:t>
      </w:r>
      <w:r>
        <w:rPr>
          <w:rFonts w:hint="eastAsia" w:ascii="仿宋_GB2312" w:hAnsi="宋体" w:eastAsia="仿宋_GB2312" w:cs="宋体"/>
          <w:color w:val="000000"/>
          <w:kern w:val="0"/>
          <w:sz w:val="32"/>
          <w:szCs w:val="32"/>
          <w:lang w:val="en-US" w:eastAsia="zh-CN"/>
        </w:rPr>
        <w:cr/>
      </w:r>
      <w:r>
        <w:rPr>
          <w:rFonts w:hint="eastAsia" w:ascii="仿宋_GB2312" w:hAnsi="宋体" w:eastAsia="仿宋_GB2312" w:cs="宋体"/>
          <w:color w:val="000000"/>
          <w:kern w:val="0"/>
          <w:sz w:val="32"/>
          <w:szCs w:val="32"/>
          <w:lang w:val="en-US" w:eastAsia="zh-CN"/>
        </w:rPr>
        <w:t xml:space="preserve">    （4）参与制定并组织实施社区建设规划和公共服务设施规划，组织辖区单位、居民和志愿者队伍为社区发展服务。</w:t>
      </w:r>
      <w:r>
        <w:rPr>
          <w:rFonts w:hint="eastAsia" w:ascii="仿宋_GB2312" w:hAnsi="宋体" w:eastAsia="仿宋_GB2312" w:cs="宋体"/>
          <w:color w:val="000000"/>
          <w:kern w:val="0"/>
          <w:sz w:val="32"/>
          <w:szCs w:val="32"/>
          <w:lang w:val="en-US" w:eastAsia="zh-CN"/>
        </w:rPr>
        <w:cr/>
      </w:r>
      <w:r>
        <w:rPr>
          <w:rFonts w:hint="eastAsia" w:ascii="仿宋_GB2312" w:hAnsi="宋体" w:eastAsia="仿宋_GB2312" w:cs="宋体"/>
          <w:color w:val="000000"/>
          <w:kern w:val="0"/>
          <w:sz w:val="32"/>
          <w:szCs w:val="32"/>
          <w:lang w:val="en-US" w:eastAsia="zh-CN"/>
        </w:rPr>
        <w:t xml:space="preserve">    （5）负责社区居民委员会建设，指导社区居民委员会工作，培育、发展社区社会组织，指导、监督社区业主委员会。</w:t>
      </w:r>
      <w:r>
        <w:rPr>
          <w:rFonts w:hint="eastAsia" w:ascii="仿宋_GB2312" w:hAnsi="宋体" w:eastAsia="仿宋_GB2312" w:cs="宋体"/>
          <w:color w:val="000000"/>
          <w:kern w:val="0"/>
          <w:sz w:val="32"/>
          <w:szCs w:val="32"/>
          <w:lang w:val="en-US" w:eastAsia="zh-CN"/>
        </w:rPr>
        <w:cr/>
      </w:r>
      <w:r>
        <w:rPr>
          <w:rFonts w:hint="eastAsia" w:ascii="仿宋_GB2312" w:hAnsi="宋体" w:eastAsia="仿宋_GB2312" w:cs="宋体"/>
          <w:color w:val="000000"/>
          <w:kern w:val="0"/>
          <w:sz w:val="32"/>
          <w:szCs w:val="32"/>
          <w:lang w:val="en-US" w:eastAsia="zh-CN"/>
        </w:rPr>
        <w:t xml:space="preserve">    （6）推进居民自治，及时处理并向上级政府反映居民的意见和要求。动员社会力量参与社区治理，推动形成社区共治合力。</w:t>
      </w:r>
      <w:r>
        <w:rPr>
          <w:rFonts w:hint="eastAsia" w:ascii="仿宋_GB2312" w:hAnsi="宋体" w:eastAsia="仿宋_GB2312" w:cs="宋体"/>
          <w:color w:val="000000"/>
          <w:kern w:val="0"/>
          <w:sz w:val="32"/>
          <w:szCs w:val="32"/>
          <w:lang w:val="en-US" w:eastAsia="zh-CN"/>
        </w:rPr>
        <w:cr/>
      </w:r>
      <w:r>
        <w:rPr>
          <w:rFonts w:hint="eastAsia" w:ascii="仿宋_GB2312" w:hAnsi="宋体" w:eastAsia="仿宋_GB2312" w:cs="宋体"/>
          <w:color w:val="000000"/>
          <w:kern w:val="0"/>
          <w:sz w:val="32"/>
          <w:szCs w:val="32"/>
          <w:lang w:val="en-US" w:eastAsia="zh-CN"/>
        </w:rPr>
        <w:t xml:space="preserve">    （7）组织开展群众性文化、体育、科普活动，开展法治宣传和社会公德教育，推动社区公益事业发展。</w:t>
      </w:r>
      <w:r>
        <w:rPr>
          <w:rFonts w:hint="eastAsia" w:ascii="仿宋_GB2312" w:hAnsi="宋体" w:eastAsia="仿宋_GB2312" w:cs="宋体"/>
          <w:color w:val="000000"/>
          <w:kern w:val="0"/>
          <w:sz w:val="32"/>
          <w:szCs w:val="32"/>
          <w:lang w:val="en-US" w:eastAsia="zh-CN"/>
        </w:rPr>
        <w:cr/>
      </w:r>
      <w:r>
        <w:rPr>
          <w:rFonts w:hint="eastAsia" w:ascii="仿宋_GB2312" w:hAnsi="宋体" w:eastAsia="仿宋_GB2312" w:cs="宋体"/>
          <w:color w:val="000000"/>
          <w:kern w:val="0"/>
          <w:sz w:val="32"/>
          <w:szCs w:val="32"/>
          <w:lang w:val="en-US" w:eastAsia="zh-CN"/>
        </w:rPr>
        <w:t xml:space="preserve">    （8）组织开展公共服务，落实人力社保、民政、卫生健康、教育、住房保障、便民服务等政策，维护老年人、妇女、未成年人、残疾人等合法权益。</w:t>
      </w:r>
      <w:r>
        <w:rPr>
          <w:rFonts w:hint="eastAsia" w:ascii="仿宋_GB2312" w:hAnsi="宋体" w:eastAsia="仿宋_GB2312" w:cs="宋体"/>
          <w:color w:val="000000"/>
          <w:kern w:val="0"/>
          <w:sz w:val="32"/>
          <w:szCs w:val="32"/>
          <w:lang w:val="en-US" w:eastAsia="zh-CN"/>
        </w:rPr>
        <w:cr/>
      </w:r>
      <w:r>
        <w:rPr>
          <w:rFonts w:hint="eastAsia" w:ascii="仿宋_GB2312" w:hAnsi="宋体" w:eastAsia="仿宋_GB2312" w:cs="宋体"/>
          <w:color w:val="000000"/>
          <w:kern w:val="0"/>
          <w:sz w:val="32"/>
          <w:szCs w:val="32"/>
          <w:lang w:val="en-US" w:eastAsia="zh-CN"/>
        </w:rPr>
        <w:t xml:space="preserve">    （9）承办区政府交办的其他事项。</w:t>
      </w:r>
    </w:p>
    <w:p>
      <w:p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下属3个事业单位职能：</w:t>
      </w:r>
    </w:p>
    <w:p>
      <w:pPr>
        <w:spacing w:line="600" w:lineRule="exact"/>
        <w:ind w:firstLine="640" w:firstLineChars="200"/>
        <w:rPr>
          <w:rFonts w:hint="eastAsia" w:ascii="楷体_GB2312" w:eastAsia="楷体_GB2312"/>
          <w:sz w:val="32"/>
          <w:szCs w:val="32"/>
        </w:rPr>
      </w:pPr>
      <w:r>
        <w:rPr>
          <w:rFonts w:hint="eastAsia" w:ascii="仿宋_GB2312" w:hAnsi="宋体" w:eastAsia="仿宋_GB2312" w:cs="宋体"/>
          <w:color w:val="000000"/>
          <w:kern w:val="0"/>
          <w:sz w:val="32"/>
          <w:szCs w:val="32"/>
          <w:lang w:val="en-US" w:eastAsia="zh-CN"/>
        </w:rPr>
        <w:t>（1）便民服务中心：承担政务服务、社会保障、住房保障、养老助残以及其他直接面向群众和驻区单位的综合便民服务工作。做好本辖区退役军人服务管理、权益保障、数据信息采集、优抚帮扶等相关事务性工作。</w:t>
      </w:r>
      <w:r>
        <w:rPr>
          <w:rFonts w:hint="eastAsia" w:ascii="仿宋_GB2312" w:hAnsi="宋体" w:eastAsia="仿宋_GB2312" w:cs="宋体"/>
          <w:color w:val="000000"/>
          <w:kern w:val="0"/>
          <w:sz w:val="32"/>
          <w:szCs w:val="32"/>
          <w:lang w:val="en-US" w:eastAsia="zh-CN"/>
        </w:rPr>
        <w:cr/>
      </w:r>
      <w:r>
        <w:rPr>
          <w:rFonts w:hint="eastAsia" w:ascii="楷体_GB2312" w:eastAsia="楷体_GB2312"/>
          <w:sz w:val="32"/>
          <w:szCs w:val="32"/>
          <w:lang w:val="en-US" w:eastAsia="zh-CN"/>
        </w:rPr>
        <w:t xml:space="preserve">   </w:t>
      </w:r>
      <w:r>
        <w:rPr>
          <w:rFonts w:hint="eastAsia" w:ascii="仿宋_GB2312" w:hAnsi="宋体" w:eastAsia="仿宋_GB2312" w:cs="宋体"/>
          <w:color w:val="000000"/>
          <w:kern w:val="0"/>
          <w:sz w:val="32"/>
          <w:szCs w:val="32"/>
          <w:lang w:val="en-US" w:eastAsia="zh-CN"/>
        </w:rPr>
        <w:t xml:space="preserve"> （2）市民活动中心：协调社会服务资源，为辖区居民提供文化、教育、体育等各种便民服务。组织社区开展各类党群文体活动，为辖区党群组织开展活动提供场地支持。承担辖区内基层党组织和群团组织日常事务性工作。协助开展区域化党建、流动党员教育管理、社会组织培育等事务性、辅助性工作。</w:t>
      </w:r>
      <w:r>
        <w:rPr>
          <w:rFonts w:hint="eastAsia" w:ascii="仿宋_GB2312" w:hAnsi="宋体" w:eastAsia="仿宋_GB2312" w:cs="宋体"/>
          <w:color w:val="000000"/>
          <w:kern w:val="0"/>
          <w:sz w:val="32"/>
          <w:szCs w:val="32"/>
          <w:lang w:val="en-US" w:eastAsia="zh-CN"/>
        </w:rPr>
        <w:cr/>
      </w:r>
      <w:r>
        <w:rPr>
          <w:rFonts w:hint="eastAsia" w:ascii="仿宋_GB2312" w:hAnsi="宋体" w:eastAsia="仿宋_GB2312" w:cs="宋体"/>
          <w:color w:val="000000"/>
          <w:kern w:val="0"/>
          <w:sz w:val="32"/>
          <w:szCs w:val="32"/>
          <w:lang w:val="en-US" w:eastAsia="zh-CN"/>
        </w:rPr>
        <w:t xml:space="preserve">    （3）市民诉求处置中心：负责街道网格化服务管理信息平台的日常值守、运行管理和监督工作。承担“12345”市政府非紧急救助服务热线及其他各类政府热线、网格化服务管理信息平台、群众来信来访、社区上报等各类事件的统一接收、按责转办、督办落实等工作。负责街道网格化服务管理信息平台的数据统计和案件分析。推进街道、社区各信息系统、基础数据等方面的深度融合，为街道决策提供数据基础。负责配合处置、应对应急突发事件。承担城市管理、综合治理等相关的事务性、辅助性工作。</w:t>
      </w:r>
    </w:p>
    <w:p>
      <w:pPr>
        <w:spacing w:line="600" w:lineRule="exact"/>
        <w:ind w:firstLine="640" w:firstLineChars="200"/>
        <w:rPr>
          <w:rFonts w:hint="eastAsia" w:ascii="楷体_GB2312" w:eastAsia="楷体_GB2312"/>
          <w:sz w:val="32"/>
          <w:szCs w:val="32"/>
        </w:rPr>
      </w:pPr>
      <w:r>
        <w:rPr>
          <w:rFonts w:hint="eastAsia" w:ascii="楷体_GB2312" w:eastAsia="楷体_GB2312"/>
          <w:sz w:val="32"/>
          <w:szCs w:val="32"/>
        </w:rPr>
        <w:t>（二）部门整体绩效目标设立情况。</w:t>
      </w:r>
    </w:p>
    <w:p>
      <w:pPr>
        <w:pStyle w:val="2"/>
        <w:keepNext w:val="0"/>
        <w:keepLines w:val="0"/>
        <w:pageBreakBefore w:val="0"/>
        <w:widowControl w:val="0"/>
        <w:kinsoku/>
        <w:wordWrap/>
        <w:overflowPunct/>
        <w:topLinePunct w:val="0"/>
        <w:autoSpaceDE/>
        <w:autoSpaceDN/>
        <w:bidi w:val="0"/>
        <w:adjustRightInd/>
        <w:snapToGrid/>
        <w:spacing w:after="120" w:line="240" w:lineRule="auto"/>
        <w:ind w:left="0" w:leftChars="0" w:right="0" w:rightChars="0" w:firstLine="640" w:firstLineChars="200"/>
        <w:jc w:val="both"/>
        <w:textAlignment w:val="auto"/>
        <w:outlineLvl w:val="9"/>
        <w:rPr>
          <w:rFonts w:hint="eastAsia" w:ascii="楷体_GB2312" w:hAnsi="Times New Roman" w:eastAsia="楷体_GB2312" w:cs="Times New Roman"/>
          <w:kern w:val="2"/>
          <w:sz w:val="32"/>
          <w:szCs w:val="32"/>
          <w:lang w:val="en-US" w:eastAsia="zh-CN" w:bidi="ar-SA"/>
        </w:rPr>
      </w:pPr>
      <w:r>
        <w:rPr>
          <w:rFonts w:hint="default" w:ascii="仿宋_GB2312" w:hAnsi="宋体" w:eastAsia="仿宋_GB2312" w:cs="宋体"/>
          <w:color w:val="000000"/>
          <w:kern w:val="0"/>
          <w:sz w:val="32"/>
          <w:szCs w:val="32"/>
          <w:lang w:val="en-US" w:eastAsia="zh-CN" w:bidi="ar-SA"/>
        </w:rPr>
        <w:t>按照区财政局绩效评价</w:t>
      </w:r>
      <w:r>
        <w:rPr>
          <w:rFonts w:hint="eastAsia" w:ascii="仿宋_GB2312" w:hAnsi="宋体" w:eastAsia="仿宋_GB2312" w:cs="宋体"/>
          <w:color w:val="000000"/>
          <w:kern w:val="0"/>
          <w:sz w:val="32"/>
          <w:szCs w:val="32"/>
          <w:lang w:val="en-US" w:eastAsia="zh-CN" w:bidi="ar-SA"/>
        </w:rPr>
        <w:t>相关</w:t>
      </w:r>
      <w:r>
        <w:rPr>
          <w:rFonts w:hint="default" w:ascii="仿宋_GB2312" w:hAnsi="宋体" w:eastAsia="仿宋_GB2312" w:cs="宋体"/>
          <w:color w:val="000000"/>
          <w:kern w:val="0"/>
          <w:sz w:val="32"/>
          <w:szCs w:val="32"/>
          <w:lang w:val="en-US" w:eastAsia="zh-CN" w:bidi="ar-SA"/>
        </w:rPr>
        <w:t>要求，</w:t>
      </w:r>
      <w:r>
        <w:rPr>
          <w:rFonts w:hint="eastAsia" w:ascii="仿宋_GB2312" w:hAnsi="宋体" w:eastAsia="仿宋_GB2312" w:cs="宋体"/>
          <w:color w:val="000000"/>
          <w:kern w:val="0"/>
          <w:sz w:val="32"/>
          <w:szCs w:val="32"/>
          <w:lang w:val="en-US" w:eastAsia="zh-CN" w:bidi="ar-SA"/>
        </w:rPr>
        <w:t>我街道加强组织领导，完善工作机制，确保预算绩效工作有效执行。街道</w:t>
      </w:r>
      <w:r>
        <w:rPr>
          <w:rFonts w:hint="default" w:ascii="仿宋_GB2312" w:hAnsi="宋体" w:eastAsia="仿宋_GB2312" w:cs="宋体"/>
          <w:color w:val="000000"/>
          <w:kern w:val="0"/>
          <w:sz w:val="32"/>
          <w:szCs w:val="32"/>
          <w:lang w:val="en-US" w:eastAsia="zh-CN" w:bidi="ar-SA"/>
        </w:rPr>
        <w:t>结合年度主要工作任务，预计本年度履职所要达到的总体产出和效果，将其确定为总体目标。</w:t>
      </w:r>
      <w:r>
        <w:rPr>
          <w:rFonts w:hint="eastAsia" w:ascii="仿宋_GB2312" w:hAnsi="宋体" w:eastAsia="仿宋_GB2312" w:cs="宋体"/>
          <w:color w:val="000000"/>
          <w:kern w:val="0"/>
          <w:sz w:val="32"/>
          <w:szCs w:val="32"/>
          <w:lang w:val="en-US" w:eastAsia="zh-CN" w:bidi="ar-SA"/>
        </w:rPr>
        <w:t>各部门</w:t>
      </w:r>
      <w:r>
        <w:rPr>
          <w:rFonts w:hint="default" w:ascii="仿宋_GB2312" w:hAnsi="宋体" w:eastAsia="仿宋_GB2312" w:cs="宋体"/>
          <w:color w:val="000000"/>
          <w:kern w:val="0"/>
          <w:sz w:val="32"/>
          <w:szCs w:val="32"/>
          <w:lang w:val="en-US" w:eastAsia="zh-CN" w:bidi="ar-SA"/>
        </w:rPr>
        <w:t>结合具体工作职责和工作任务，确定每项工作任务预计要达到的产出和效果，从中概括、提炼出最能反映工作任务预期实现程度的关键性指标，并将其确定为相应的绩效指标</w:t>
      </w:r>
      <w:r>
        <w:rPr>
          <w:rFonts w:hint="eastAsia" w:ascii="仿宋_GB2312" w:hAnsi="宋体" w:eastAsia="仿宋_GB2312" w:cs="宋体"/>
          <w:color w:val="000000"/>
          <w:kern w:val="0"/>
          <w:sz w:val="32"/>
          <w:szCs w:val="32"/>
          <w:lang w:val="en-US" w:eastAsia="zh-CN" w:bidi="ar-SA"/>
        </w:rPr>
        <w:t>，使其更加贴合街道工作实际，避免预算支出与实际执行出现较大偏差的情况。保证各预算绩效指标的顺利实施。保证了目标与职责任务相匹配、目标设立合理。具体如下：</w:t>
      </w:r>
    </w:p>
    <w:tbl>
      <w:tblPr>
        <w:tblStyle w:val="7"/>
        <w:tblW w:w="10537" w:type="dxa"/>
        <w:tblInd w:w="-101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12"/>
        <w:gridCol w:w="1451"/>
        <w:gridCol w:w="1352"/>
        <w:gridCol w:w="335"/>
        <w:gridCol w:w="907"/>
        <w:gridCol w:w="1242"/>
        <w:gridCol w:w="279"/>
        <w:gridCol w:w="279"/>
        <w:gridCol w:w="1005"/>
        <w:gridCol w:w="237"/>
        <w:gridCol w:w="738"/>
        <w:gridCol w:w="504"/>
        <w:gridCol w:w="279"/>
        <w:gridCol w:w="55"/>
        <w:gridCol w:w="862"/>
        <w:gridCol w:w="6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50" w:hRule="atLeast"/>
        </w:trPr>
        <w:tc>
          <w:tcPr>
            <w:tcW w:w="10537" w:type="dxa"/>
            <w:gridSpan w:val="16"/>
            <w:tcBorders>
              <w:left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微软雅黑" w:hAnsi="微软雅黑" w:eastAsia="微软雅黑" w:cs="微软雅黑"/>
                <w:b/>
                <w:i w:val="0"/>
                <w:color w:val="808080"/>
                <w:sz w:val="32"/>
                <w:szCs w:val="32"/>
                <w:u w:val="none"/>
              </w:rPr>
            </w:pPr>
            <w:r>
              <w:rPr>
                <w:rFonts w:hint="eastAsia" w:ascii="微软雅黑" w:hAnsi="微软雅黑" w:eastAsia="微软雅黑" w:cs="微软雅黑"/>
                <w:b/>
                <w:i w:val="0"/>
                <w:color w:val="808080"/>
                <w:kern w:val="0"/>
                <w:sz w:val="32"/>
                <w:szCs w:val="32"/>
                <w:u w:val="none"/>
                <w:lang w:val="en-US" w:eastAsia="zh-CN" w:bidi="ar"/>
              </w:rPr>
              <w:t>部门（单位）整体支出绩效目标申报表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6" w:hRule="atLeast"/>
        </w:trPr>
        <w:tc>
          <w:tcPr>
            <w:tcW w:w="10537" w:type="dxa"/>
            <w:gridSpan w:val="16"/>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预算年度:2024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01" w:hRule="atLeast"/>
        </w:trPr>
        <w:tc>
          <w:tcPr>
            <w:tcW w:w="1863" w:type="dxa"/>
            <w:gridSpan w:val="2"/>
            <w:tcBorders>
              <w:left w:val="single" w:color="000000" w:sz="4" w:space="0"/>
              <w:bottom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预算（单位）名称：</w:t>
            </w:r>
          </w:p>
        </w:tc>
        <w:tc>
          <w:tcPr>
            <w:tcW w:w="6878" w:type="dxa"/>
            <w:gridSpan w:val="10"/>
            <w:tcBorders>
              <w:bottom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601001-北京市朝阳区人民政府双井街道办事处</w:t>
            </w:r>
          </w:p>
        </w:tc>
        <w:tc>
          <w:tcPr>
            <w:tcW w:w="1796" w:type="dxa"/>
            <w:gridSpan w:val="4"/>
            <w:tcBorders>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i w:val="0"/>
                <w:color w:val="FF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35" w:hRule="atLeast"/>
        </w:trPr>
        <w:tc>
          <w:tcPr>
            <w:tcW w:w="1863" w:type="dxa"/>
            <w:gridSpan w:val="2"/>
            <w:vMerge w:val="restart"/>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总体资金情况（元）</w:t>
            </w:r>
          </w:p>
        </w:tc>
        <w:tc>
          <w:tcPr>
            <w:tcW w:w="1352" w:type="dxa"/>
            <w:vMerge w:val="restart"/>
            <w:tcBorders>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预算支出总额</w:t>
            </w:r>
          </w:p>
        </w:tc>
        <w:tc>
          <w:tcPr>
            <w:tcW w:w="3042" w:type="dxa"/>
            <w:gridSpan w:val="5"/>
            <w:tcBorders>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基本支出</w:t>
            </w:r>
          </w:p>
        </w:tc>
        <w:tc>
          <w:tcPr>
            <w:tcW w:w="4280" w:type="dxa"/>
            <w:gridSpan w:val="8"/>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35" w:hRule="atLeast"/>
        </w:trPr>
        <w:tc>
          <w:tcPr>
            <w:tcW w:w="1863" w:type="dxa"/>
            <w:gridSpan w:val="2"/>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352" w:type="dxa"/>
            <w:vMerge w:val="continue"/>
            <w:tcBorders>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i w:val="0"/>
                <w:color w:val="000000"/>
                <w:sz w:val="22"/>
                <w:szCs w:val="22"/>
                <w:u w:val="none"/>
              </w:rPr>
            </w:pPr>
          </w:p>
        </w:tc>
        <w:tc>
          <w:tcPr>
            <w:tcW w:w="1242" w:type="dxa"/>
            <w:gridSpan w:val="2"/>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42"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w:t>
            </w:r>
          </w:p>
        </w:tc>
        <w:tc>
          <w:tcPr>
            <w:tcW w:w="279"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专户资金</w:t>
            </w:r>
          </w:p>
        </w:tc>
        <w:tc>
          <w:tcPr>
            <w:tcW w:w="279"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单位资金</w:t>
            </w:r>
          </w:p>
        </w:tc>
        <w:tc>
          <w:tcPr>
            <w:tcW w:w="1242" w:type="dxa"/>
            <w:gridSpan w:val="2"/>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42" w:type="dxa"/>
            <w:gridSpan w:val="2"/>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w:t>
            </w:r>
          </w:p>
        </w:tc>
        <w:tc>
          <w:tcPr>
            <w:tcW w:w="279"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专户资金</w:t>
            </w:r>
          </w:p>
        </w:tc>
        <w:tc>
          <w:tcPr>
            <w:tcW w:w="1517" w:type="dxa"/>
            <w:gridSpan w:val="3"/>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trPr>
        <w:tc>
          <w:tcPr>
            <w:tcW w:w="1863" w:type="dxa"/>
            <w:gridSpan w:val="2"/>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352" w:type="dxa"/>
            <w:tcBorders>
              <w:top w:val="single" w:color="000000" w:sz="4" w:space="0"/>
              <w:left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144391804.40 </w:t>
            </w:r>
          </w:p>
        </w:tc>
        <w:tc>
          <w:tcPr>
            <w:tcW w:w="124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45856178.85 </w:t>
            </w:r>
          </w:p>
        </w:tc>
        <w:tc>
          <w:tcPr>
            <w:tcW w:w="124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45856178.85 </w:t>
            </w:r>
          </w:p>
        </w:tc>
        <w:tc>
          <w:tcPr>
            <w:tcW w:w="279" w:type="dxa"/>
            <w:tcBorders>
              <w:top w:val="single" w:color="000000" w:sz="4" w:space="0"/>
              <w:left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279" w:type="dxa"/>
            <w:tcBorders>
              <w:top w:val="single" w:color="000000" w:sz="4" w:space="0"/>
              <w:left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124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98535625.55 </w:t>
            </w:r>
          </w:p>
        </w:tc>
        <w:tc>
          <w:tcPr>
            <w:tcW w:w="124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98535625.55 </w:t>
            </w:r>
          </w:p>
        </w:tc>
        <w:tc>
          <w:tcPr>
            <w:tcW w:w="279" w:type="dxa"/>
            <w:tcBorders>
              <w:top w:val="single" w:color="000000" w:sz="4" w:space="0"/>
              <w:left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1517" w:type="dxa"/>
            <w:gridSpan w:val="3"/>
            <w:tcBorders>
              <w:top w:val="single" w:color="000000" w:sz="4" w:space="0"/>
              <w:left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851" w:hRule="atLeast"/>
        </w:trPr>
        <w:tc>
          <w:tcPr>
            <w:tcW w:w="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部</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门</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整</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体</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绩</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效</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情</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况</w:t>
            </w:r>
          </w:p>
        </w:tc>
        <w:tc>
          <w:tcPr>
            <w:tcW w:w="145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整体绩效目标</w:t>
            </w:r>
          </w:p>
        </w:tc>
        <w:tc>
          <w:tcPr>
            <w:tcW w:w="8674" w:type="dxa"/>
            <w:gridSpan w:val="14"/>
            <w:tcBorders>
              <w:top w:val="single" w:color="000000" w:sz="4" w:space="0"/>
              <w:left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1.宣传和执行党的路线、方针、政策，宣传和执行党中央、市委、区委的决议，及时向区委报告辖区有关情况、反映问题、 提出意见建议。2.讨论并决定本地区重大问题，统筹推进平安建设、城市管理、社区建设、民生保障等工作，统筹、协调辖区单位和组织，团结、组织党内外干部和群众，抓好决策部署的组织实施和督促落实。3.履行全面从严治党主体责任，全面推进辖区党的政治建设、思想建设、组织建设、作风建设、纪律建设，把制度建设贯穿其中，组织协调反腐败工作。4.落实基层党建工作责任制，加强街道党工委自身建设和以党支部为核心的基层党组织建设，统筹推进区域化党建和“两新”组织党建、社区党建工作。对党员进行教育、管理、监督和服务，做好经常性的发展党员工作。5.按照管理权限，对街道机关及所属单位干部进行教育、培训、选拔、考核和监督，对市、区政府职能部门派出机构相关工作人员的任免、调动、奖惩提出意见，对社区工作者队伍进行教育、管理。6.负责思想政治、意识形态、精神文明、统一战线工作；领导街道纪工委、人大工委、总工会、团工委、妇联、残联等组织， 支持和保证其依照党内法规、法律、法规、规章、各自的章程开展工作。7.组织维护辖区安全稳定，协调推动社会治安综合治埋，承担民兵预备役、征兵、民防工作。8.贯彻执行法律、法规、规章和市、区政府的决定、命令，依法管理基层公共事务。9.承担辖区市容环境卫生、绿化美化的管理工作，推进街巷长、河长制工作，组织、协调城市管理综合执法和环境秩序综合治理工作，推进城市精细化管理。10.协助依法履行安全生产、消防安全、食品安全、环境保护、劳动保障、流动人口及出租房屋监督管理工作，承担辖区应急、防汛和防灾减灾工作。11.参与制定并组织实施社区建设规划和公共服务设施规划，组织辖区单位、居民和志愿者队伍为社区发展服务。12.负责社区居民委员会建设，指导社区居民委员会工作，培育、发展社区社会组织，指导、监督社区业主委员会。13.推进居民自治，及时处理并向上级政府反映居民的意见和要求。动员社会力量参与社区治理，推动形成社区共治合力。14.组织开展群众性文化、体育、科普活动，开展法治宣传和社会公德教育，推动社区公益事业发展。15.组织开展公共服务，落实人力社保、民政、卫生健康、教育、住房保障、便民服务等政策，维护老年人、妇女、未成年人、残疾人等合法权益。16.承办区政府交办的其他事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trPr>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4"/>
                <w:szCs w:val="24"/>
                <w:u w:val="none"/>
              </w:rPr>
            </w:pPr>
          </w:p>
        </w:tc>
        <w:tc>
          <w:tcPr>
            <w:tcW w:w="10125" w:type="dxa"/>
            <w:gridSpan w:val="1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b/>
                <w:i w:val="0"/>
                <w:color w:val="808080"/>
                <w:sz w:val="28"/>
                <w:szCs w:val="28"/>
                <w:u w:val="none"/>
              </w:rPr>
            </w:pPr>
            <w:r>
              <w:rPr>
                <w:rFonts w:hint="eastAsia" w:ascii="微软雅黑" w:hAnsi="微软雅黑" w:eastAsia="微软雅黑" w:cs="微软雅黑"/>
                <w:b/>
                <w:i w:val="0"/>
                <w:color w:val="808080"/>
                <w:kern w:val="0"/>
                <w:sz w:val="28"/>
                <w:szCs w:val="28"/>
                <w:u w:val="none"/>
                <w:lang w:val="en-US" w:eastAsia="zh-CN" w:bidi="ar"/>
              </w:rPr>
              <w:t>年度绩效指标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20" w:hRule="atLeast"/>
        </w:trPr>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4"/>
                <w:szCs w:val="24"/>
                <w:u w:val="none"/>
              </w:rPr>
            </w:pPr>
          </w:p>
        </w:tc>
        <w:tc>
          <w:tcPr>
            <w:tcW w:w="1451"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活动</w:t>
            </w:r>
          </w:p>
        </w:tc>
        <w:tc>
          <w:tcPr>
            <w:tcW w:w="1687" w:type="dxa"/>
            <w:gridSpan w:val="2"/>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 xml:space="preserve"> 任务</w:t>
            </w:r>
          </w:p>
        </w:tc>
        <w:tc>
          <w:tcPr>
            <w:tcW w:w="907"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一级指标</w:t>
            </w:r>
          </w:p>
        </w:tc>
        <w:tc>
          <w:tcPr>
            <w:tcW w:w="1242"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二级指标</w:t>
            </w:r>
          </w:p>
        </w:tc>
        <w:tc>
          <w:tcPr>
            <w:tcW w:w="1563"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 xml:space="preserve"> 三级指标</w:t>
            </w:r>
          </w:p>
        </w:tc>
        <w:tc>
          <w:tcPr>
            <w:tcW w:w="975" w:type="dxa"/>
            <w:gridSpan w:val="2"/>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绩效指标性质</w:t>
            </w:r>
          </w:p>
        </w:tc>
        <w:tc>
          <w:tcPr>
            <w:tcW w:w="838" w:type="dxa"/>
            <w:gridSpan w:val="3"/>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绩效指标值</w:t>
            </w:r>
          </w:p>
        </w:tc>
        <w:tc>
          <w:tcPr>
            <w:tcW w:w="862"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绩效度量单位</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trPr>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4"/>
                <w:szCs w:val="24"/>
                <w:u w:val="none"/>
              </w:rPr>
            </w:pPr>
          </w:p>
        </w:tc>
        <w:tc>
          <w:tcPr>
            <w:tcW w:w="145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05-党群工作/01-党建工作</w:t>
            </w:r>
          </w:p>
        </w:tc>
        <w:tc>
          <w:tcPr>
            <w:tcW w:w="1687" w:type="dxa"/>
            <w:gridSpan w:val="2"/>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落实基层党建工作责任制，加强街道党工委自身建设和以党支部为核心的基层党组织建设，统筹推进区域化党建和“两新”组织党建、社区党建工作。</w:t>
            </w:r>
          </w:p>
        </w:tc>
        <w:tc>
          <w:tcPr>
            <w:tcW w:w="90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产出指标</w:t>
            </w:r>
          </w:p>
        </w:tc>
        <w:tc>
          <w:tcPr>
            <w:tcW w:w="1242" w:type="dxa"/>
            <w:tcBorders>
              <w:top w:val="single" w:color="000000" w:sz="4" w:space="0"/>
              <w:lef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数量指标</w:t>
            </w:r>
          </w:p>
        </w:tc>
        <w:tc>
          <w:tcPr>
            <w:tcW w:w="15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举办活动次数</w:t>
            </w:r>
          </w:p>
        </w:tc>
        <w:tc>
          <w:tcPr>
            <w:tcW w:w="975" w:type="dxa"/>
            <w:gridSpan w:val="2"/>
            <w:tcBorders>
              <w:top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838"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86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次</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trPr>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4"/>
                <w:szCs w:val="24"/>
                <w:u w:val="none"/>
              </w:rPr>
            </w:pPr>
          </w:p>
        </w:tc>
        <w:tc>
          <w:tcPr>
            <w:tcW w:w="1451" w:type="dxa"/>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1687" w:type="dxa"/>
            <w:gridSpan w:val="2"/>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907" w:type="dxa"/>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1242" w:type="dxa"/>
            <w:tcBorders>
              <w:top w:val="single" w:color="000000" w:sz="4" w:space="0"/>
              <w:lef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质量指标</w:t>
            </w:r>
          </w:p>
        </w:tc>
        <w:tc>
          <w:tcPr>
            <w:tcW w:w="15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活动参与人数</w:t>
            </w:r>
          </w:p>
        </w:tc>
        <w:tc>
          <w:tcPr>
            <w:tcW w:w="975" w:type="dxa"/>
            <w:gridSpan w:val="2"/>
            <w:tcBorders>
              <w:top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838"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2300</w:t>
            </w:r>
          </w:p>
        </w:tc>
        <w:tc>
          <w:tcPr>
            <w:tcW w:w="86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人次</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trPr>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4"/>
                <w:szCs w:val="24"/>
                <w:u w:val="none"/>
              </w:rPr>
            </w:pPr>
          </w:p>
        </w:tc>
        <w:tc>
          <w:tcPr>
            <w:tcW w:w="1451" w:type="dxa"/>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1687" w:type="dxa"/>
            <w:gridSpan w:val="2"/>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907" w:type="dxa"/>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1242" w:type="dxa"/>
            <w:tcBorders>
              <w:top w:val="single" w:color="000000" w:sz="4" w:space="0"/>
              <w:lef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时效指标</w:t>
            </w:r>
          </w:p>
        </w:tc>
        <w:tc>
          <w:tcPr>
            <w:tcW w:w="15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项目时间</w:t>
            </w:r>
          </w:p>
        </w:tc>
        <w:tc>
          <w:tcPr>
            <w:tcW w:w="975" w:type="dxa"/>
            <w:gridSpan w:val="2"/>
            <w:tcBorders>
              <w:top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838"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86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trPr>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4"/>
                <w:szCs w:val="24"/>
                <w:u w:val="none"/>
              </w:rPr>
            </w:pPr>
          </w:p>
        </w:tc>
        <w:tc>
          <w:tcPr>
            <w:tcW w:w="1451" w:type="dxa"/>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1687" w:type="dxa"/>
            <w:gridSpan w:val="2"/>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90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效益指标</w:t>
            </w:r>
          </w:p>
        </w:tc>
        <w:tc>
          <w:tcPr>
            <w:tcW w:w="1242" w:type="dxa"/>
            <w:tcBorders>
              <w:top w:val="single" w:color="000000" w:sz="4" w:space="0"/>
              <w:lef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社会效益指标</w:t>
            </w:r>
          </w:p>
        </w:tc>
        <w:tc>
          <w:tcPr>
            <w:tcW w:w="15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提升基层党组织服务群众水平</w:t>
            </w:r>
          </w:p>
        </w:tc>
        <w:tc>
          <w:tcPr>
            <w:tcW w:w="975" w:type="dxa"/>
            <w:gridSpan w:val="2"/>
            <w:tcBorders>
              <w:top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定性</w:t>
            </w:r>
          </w:p>
        </w:tc>
        <w:tc>
          <w:tcPr>
            <w:tcW w:w="838"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优良中低差</w:t>
            </w:r>
          </w:p>
        </w:tc>
        <w:tc>
          <w:tcPr>
            <w:tcW w:w="862" w:type="dxa"/>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trPr>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4"/>
                <w:szCs w:val="24"/>
                <w:u w:val="none"/>
              </w:rPr>
            </w:pPr>
          </w:p>
        </w:tc>
        <w:tc>
          <w:tcPr>
            <w:tcW w:w="1451" w:type="dxa"/>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1687" w:type="dxa"/>
            <w:gridSpan w:val="2"/>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90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满意度指标</w:t>
            </w:r>
          </w:p>
        </w:tc>
        <w:tc>
          <w:tcPr>
            <w:tcW w:w="1242" w:type="dxa"/>
            <w:tcBorders>
              <w:top w:val="single" w:color="000000" w:sz="4" w:space="0"/>
              <w:lef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服务对象满意度指标</w:t>
            </w:r>
          </w:p>
        </w:tc>
        <w:tc>
          <w:tcPr>
            <w:tcW w:w="15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受益群众满意度</w:t>
            </w:r>
          </w:p>
        </w:tc>
        <w:tc>
          <w:tcPr>
            <w:tcW w:w="975" w:type="dxa"/>
            <w:gridSpan w:val="2"/>
            <w:tcBorders>
              <w:top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838"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w:t>
            </w:r>
          </w:p>
        </w:tc>
        <w:tc>
          <w:tcPr>
            <w:tcW w:w="86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trPr>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4"/>
                <w:szCs w:val="24"/>
                <w:u w:val="none"/>
              </w:rPr>
            </w:pPr>
          </w:p>
        </w:tc>
        <w:tc>
          <w:tcPr>
            <w:tcW w:w="1451" w:type="dxa"/>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1687" w:type="dxa"/>
            <w:gridSpan w:val="2"/>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90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成本指标</w:t>
            </w:r>
          </w:p>
        </w:tc>
        <w:tc>
          <w:tcPr>
            <w:tcW w:w="1242" w:type="dxa"/>
            <w:tcBorders>
              <w:top w:val="single" w:color="000000" w:sz="4" w:space="0"/>
              <w:lef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经济成本指标</w:t>
            </w:r>
          </w:p>
        </w:tc>
        <w:tc>
          <w:tcPr>
            <w:tcW w:w="15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不超额支出</w:t>
            </w:r>
          </w:p>
        </w:tc>
        <w:tc>
          <w:tcPr>
            <w:tcW w:w="975" w:type="dxa"/>
            <w:gridSpan w:val="2"/>
            <w:tcBorders>
              <w:top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838"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c>
          <w:tcPr>
            <w:tcW w:w="86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万元</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trPr>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4"/>
                <w:szCs w:val="24"/>
                <w:u w:val="none"/>
              </w:rPr>
            </w:pPr>
          </w:p>
        </w:tc>
        <w:tc>
          <w:tcPr>
            <w:tcW w:w="145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05-党群工作/05-组织人事工作</w:t>
            </w:r>
          </w:p>
        </w:tc>
        <w:tc>
          <w:tcPr>
            <w:tcW w:w="1687" w:type="dxa"/>
            <w:gridSpan w:val="2"/>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用于城市协管员的工资支出，提升员工工作积极性</w:t>
            </w:r>
          </w:p>
        </w:tc>
        <w:tc>
          <w:tcPr>
            <w:tcW w:w="90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产出指标</w:t>
            </w:r>
          </w:p>
        </w:tc>
        <w:tc>
          <w:tcPr>
            <w:tcW w:w="1242" w:type="dxa"/>
            <w:tcBorders>
              <w:top w:val="single" w:color="000000" w:sz="4" w:space="0"/>
              <w:lef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数量指标</w:t>
            </w:r>
          </w:p>
        </w:tc>
        <w:tc>
          <w:tcPr>
            <w:tcW w:w="15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协管员人员</w:t>
            </w:r>
          </w:p>
        </w:tc>
        <w:tc>
          <w:tcPr>
            <w:tcW w:w="975" w:type="dxa"/>
            <w:gridSpan w:val="2"/>
            <w:tcBorders>
              <w:top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838"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w:t>
            </w:r>
          </w:p>
        </w:tc>
        <w:tc>
          <w:tcPr>
            <w:tcW w:w="86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人</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trPr>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4"/>
                <w:szCs w:val="24"/>
                <w:u w:val="none"/>
              </w:rPr>
            </w:pPr>
          </w:p>
        </w:tc>
        <w:tc>
          <w:tcPr>
            <w:tcW w:w="1451" w:type="dxa"/>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1687" w:type="dxa"/>
            <w:gridSpan w:val="2"/>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907" w:type="dxa"/>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1242" w:type="dxa"/>
            <w:tcBorders>
              <w:top w:val="single" w:color="000000" w:sz="4" w:space="0"/>
              <w:lef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质量指标</w:t>
            </w:r>
          </w:p>
        </w:tc>
        <w:tc>
          <w:tcPr>
            <w:tcW w:w="15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按照相关政策发放</w:t>
            </w:r>
          </w:p>
        </w:tc>
        <w:tc>
          <w:tcPr>
            <w:tcW w:w="975" w:type="dxa"/>
            <w:gridSpan w:val="2"/>
            <w:tcBorders>
              <w:top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定性</w:t>
            </w:r>
          </w:p>
        </w:tc>
        <w:tc>
          <w:tcPr>
            <w:tcW w:w="838"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高中低</w:t>
            </w:r>
          </w:p>
        </w:tc>
        <w:tc>
          <w:tcPr>
            <w:tcW w:w="862" w:type="dxa"/>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trPr>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4"/>
                <w:szCs w:val="24"/>
                <w:u w:val="none"/>
              </w:rPr>
            </w:pPr>
          </w:p>
        </w:tc>
        <w:tc>
          <w:tcPr>
            <w:tcW w:w="1451" w:type="dxa"/>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1687" w:type="dxa"/>
            <w:gridSpan w:val="2"/>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907" w:type="dxa"/>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1242" w:type="dxa"/>
            <w:tcBorders>
              <w:top w:val="single" w:color="000000" w:sz="4" w:space="0"/>
              <w:lef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时效指标</w:t>
            </w:r>
          </w:p>
        </w:tc>
        <w:tc>
          <w:tcPr>
            <w:tcW w:w="15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项目年限</w:t>
            </w:r>
          </w:p>
        </w:tc>
        <w:tc>
          <w:tcPr>
            <w:tcW w:w="975" w:type="dxa"/>
            <w:gridSpan w:val="2"/>
            <w:tcBorders>
              <w:top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838"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86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trPr>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4"/>
                <w:szCs w:val="24"/>
                <w:u w:val="none"/>
              </w:rPr>
            </w:pPr>
          </w:p>
        </w:tc>
        <w:tc>
          <w:tcPr>
            <w:tcW w:w="1451" w:type="dxa"/>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1687" w:type="dxa"/>
            <w:gridSpan w:val="2"/>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90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效益指标</w:t>
            </w:r>
          </w:p>
        </w:tc>
        <w:tc>
          <w:tcPr>
            <w:tcW w:w="1242" w:type="dxa"/>
            <w:tcBorders>
              <w:top w:val="single" w:color="000000" w:sz="4" w:space="0"/>
              <w:lef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社会效益指标</w:t>
            </w:r>
          </w:p>
        </w:tc>
        <w:tc>
          <w:tcPr>
            <w:tcW w:w="15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对工作的正面影响</w:t>
            </w:r>
          </w:p>
        </w:tc>
        <w:tc>
          <w:tcPr>
            <w:tcW w:w="975" w:type="dxa"/>
            <w:gridSpan w:val="2"/>
            <w:tcBorders>
              <w:top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定性</w:t>
            </w:r>
          </w:p>
        </w:tc>
        <w:tc>
          <w:tcPr>
            <w:tcW w:w="838"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优良中低差</w:t>
            </w:r>
          </w:p>
        </w:tc>
        <w:tc>
          <w:tcPr>
            <w:tcW w:w="862" w:type="dxa"/>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trPr>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4"/>
                <w:szCs w:val="24"/>
                <w:u w:val="none"/>
              </w:rPr>
            </w:pPr>
          </w:p>
        </w:tc>
        <w:tc>
          <w:tcPr>
            <w:tcW w:w="1451" w:type="dxa"/>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1687" w:type="dxa"/>
            <w:gridSpan w:val="2"/>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90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满意度指标</w:t>
            </w:r>
          </w:p>
        </w:tc>
        <w:tc>
          <w:tcPr>
            <w:tcW w:w="1242" w:type="dxa"/>
            <w:tcBorders>
              <w:top w:val="single" w:color="000000" w:sz="4" w:space="0"/>
              <w:lef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服务对象满意度指标</w:t>
            </w:r>
          </w:p>
        </w:tc>
        <w:tc>
          <w:tcPr>
            <w:tcW w:w="15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政府满意度</w:t>
            </w:r>
          </w:p>
        </w:tc>
        <w:tc>
          <w:tcPr>
            <w:tcW w:w="975" w:type="dxa"/>
            <w:gridSpan w:val="2"/>
            <w:tcBorders>
              <w:top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838"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w:t>
            </w:r>
          </w:p>
        </w:tc>
        <w:tc>
          <w:tcPr>
            <w:tcW w:w="86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trPr>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4"/>
                <w:szCs w:val="24"/>
                <w:u w:val="none"/>
              </w:rPr>
            </w:pPr>
          </w:p>
        </w:tc>
        <w:tc>
          <w:tcPr>
            <w:tcW w:w="1451" w:type="dxa"/>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1687" w:type="dxa"/>
            <w:gridSpan w:val="2"/>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90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成本指标</w:t>
            </w:r>
          </w:p>
        </w:tc>
        <w:tc>
          <w:tcPr>
            <w:tcW w:w="1242" w:type="dxa"/>
            <w:tcBorders>
              <w:top w:val="single" w:color="000000" w:sz="4" w:space="0"/>
              <w:lef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社会成本指标</w:t>
            </w:r>
          </w:p>
        </w:tc>
        <w:tc>
          <w:tcPr>
            <w:tcW w:w="15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不超额支出</w:t>
            </w:r>
          </w:p>
        </w:tc>
        <w:tc>
          <w:tcPr>
            <w:tcW w:w="975" w:type="dxa"/>
            <w:gridSpan w:val="2"/>
            <w:tcBorders>
              <w:top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838"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1500</w:t>
            </w:r>
          </w:p>
        </w:tc>
        <w:tc>
          <w:tcPr>
            <w:tcW w:w="86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万元</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trPr>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4"/>
                <w:szCs w:val="24"/>
                <w:u w:val="none"/>
              </w:rPr>
            </w:pPr>
          </w:p>
        </w:tc>
        <w:tc>
          <w:tcPr>
            <w:tcW w:w="145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08-社区建设工作/03-社区工作者日常管理工作</w:t>
            </w:r>
          </w:p>
        </w:tc>
        <w:tc>
          <w:tcPr>
            <w:tcW w:w="1687" w:type="dxa"/>
            <w:gridSpan w:val="2"/>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负责社区居民委员会建设，指导社区居民委员会工作。保证社工工资及时全额下发，五险一金按时缴纳</w:t>
            </w:r>
          </w:p>
        </w:tc>
        <w:tc>
          <w:tcPr>
            <w:tcW w:w="90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产出指标</w:t>
            </w:r>
          </w:p>
        </w:tc>
        <w:tc>
          <w:tcPr>
            <w:tcW w:w="1242" w:type="dxa"/>
            <w:tcBorders>
              <w:top w:val="single" w:color="000000" w:sz="4" w:space="0"/>
              <w:lef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数量指标</w:t>
            </w:r>
          </w:p>
        </w:tc>
        <w:tc>
          <w:tcPr>
            <w:tcW w:w="15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社工人数</w:t>
            </w:r>
          </w:p>
        </w:tc>
        <w:tc>
          <w:tcPr>
            <w:tcW w:w="975" w:type="dxa"/>
            <w:gridSpan w:val="2"/>
            <w:tcBorders>
              <w:top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838"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86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人/年</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trPr>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4"/>
                <w:szCs w:val="24"/>
                <w:u w:val="none"/>
              </w:rPr>
            </w:pPr>
          </w:p>
        </w:tc>
        <w:tc>
          <w:tcPr>
            <w:tcW w:w="1451" w:type="dxa"/>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1687" w:type="dxa"/>
            <w:gridSpan w:val="2"/>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907" w:type="dxa"/>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1242" w:type="dxa"/>
            <w:tcBorders>
              <w:top w:val="single" w:color="000000" w:sz="4" w:space="0"/>
              <w:lef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质量指标</w:t>
            </w:r>
          </w:p>
        </w:tc>
        <w:tc>
          <w:tcPr>
            <w:tcW w:w="15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每年人均工资发放</w:t>
            </w:r>
          </w:p>
        </w:tc>
        <w:tc>
          <w:tcPr>
            <w:tcW w:w="975" w:type="dxa"/>
            <w:gridSpan w:val="2"/>
            <w:tcBorders>
              <w:top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838"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86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万元</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trPr>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4"/>
                <w:szCs w:val="24"/>
                <w:u w:val="none"/>
              </w:rPr>
            </w:pPr>
          </w:p>
        </w:tc>
        <w:tc>
          <w:tcPr>
            <w:tcW w:w="1451" w:type="dxa"/>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1687" w:type="dxa"/>
            <w:gridSpan w:val="2"/>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907" w:type="dxa"/>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1242" w:type="dxa"/>
            <w:tcBorders>
              <w:top w:val="single" w:color="000000" w:sz="4" w:space="0"/>
              <w:lef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时效指标</w:t>
            </w:r>
          </w:p>
        </w:tc>
        <w:tc>
          <w:tcPr>
            <w:tcW w:w="15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按时工资发放</w:t>
            </w:r>
          </w:p>
        </w:tc>
        <w:tc>
          <w:tcPr>
            <w:tcW w:w="975" w:type="dxa"/>
            <w:gridSpan w:val="2"/>
            <w:tcBorders>
              <w:top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838"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86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trPr>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4"/>
                <w:szCs w:val="24"/>
                <w:u w:val="none"/>
              </w:rPr>
            </w:pPr>
          </w:p>
        </w:tc>
        <w:tc>
          <w:tcPr>
            <w:tcW w:w="1451" w:type="dxa"/>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1687" w:type="dxa"/>
            <w:gridSpan w:val="2"/>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90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效益指标</w:t>
            </w:r>
          </w:p>
        </w:tc>
        <w:tc>
          <w:tcPr>
            <w:tcW w:w="1242" w:type="dxa"/>
            <w:tcBorders>
              <w:top w:val="single" w:color="000000" w:sz="4" w:space="0"/>
              <w:lef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社会效益指标</w:t>
            </w:r>
          </w:p>
        </w:tc>
        <w:tc>
          <w:tcPr>
            <w:tcW w:w="15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对工作的正面影响</w:t>
            </w:r>
          </w:p>
        </w:tc>
        <w:tc>
          <w:tcPr>
            <w:tcW w:w="975" w:type="dxa"/>
            <w:gridSpan w:val="2"/>
            <w:tcBorders>
              <w:top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定性</w:t>
            </w:r>
          </w:p>
        </w:tc>
        <w:tc>
          <w:tcPr>
            <w:tcW w:w="838"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优良中低差</w:t>
            </w:r>
          </w:p>
        </w:tc>
        <w:tc>
          <w:tcPr>
            <w:tcW w:w="862" w:type="dxa"/>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trPr>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4"/>
                <w:szCs w:val="24"/>
                <w:u w:val="none"/>
              </w:rPr>
            </w:pPr>
          </w:p>
        </w:tc>
        <w:tc>
          <w:tcPr>
            <w:tcW w:w="1451" w:type="dxa"/>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1687" w:type="dxa"/>
            <w:gridSpan w:val="2"/>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90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满意度指标</w:t>
            </w:r>
          </w:p>
        </w:tc>
        <w:tc>
          <w:tcPr>
            <w:tcW w:w="1242" w:type="dxa"/>
            <w:tcBorders>
              <w:top w:val="single" w:color="000000" w:sz="4" w:space="0"/>
              <w:lef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服务对象满意度指标</w:t>
            </w:r>
          </w:p>
        </w:tc>
        <w:tc>
          <w:tcPr>
            <w:tcW w:w="15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政府满意度</w:t>
            </w:r>
          </w:p>
        </w:tc>
        <w:tc>
          <w:tcPr>
            <w:tcW w:w="975" w:type="dxa"/>
            <w:gridSpan w:val="2"/>
            <w:tcBorders>
              <w:top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838"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w:t>
            </w:r>
          </w:p>
        </w:tc>
        <w:tc>
          <w:tcPr>
            <w:tcW w:w="86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trPr>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24"/>
                <w:szCs w:val="24"/>
                <w:u w:val="none"/>
              </w:rPr>
            </w:pPr>
          </w:p>
        </w:tc>
        <w:tc>
          <w:tcPr>
            <w:tcW w:w="1451" w:type="dxa"/>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1687" w:type="dxa"/>
            <w:gridSpan w:val="2"/>
            <w:vMerge w:val="continue"/>
            <w:tcBorders>
              <w:top w:val="single" w:color="000000" w:sz="4" w:space="0"/>
              <w:left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2"/>
                <w:szCs w:val="22"/>
                <w:u w:val="none"/>
              </w:rPr>
            </w:pPr>
          </w:p>
        </w:tc>
        <w:tc>
          <w:tcPr>
            <w:tcW w:w="90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成本指标</w:t>
            </w:r>
          </w:p>
        </w:tc>
        <w:tc>
          <w:tcPr>
            <w:tcW w:w="1242" w:type="dxa"/>
            <w:tcBorders>
              <w:top w:val="single" w:color="000000" w:sz="4" w:space="0"/>
              <w:lef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经济成本指标</w:t>
            </w:r>
          </w:p>
        </w:tc>
        <w:tc>
          <w:tcPr>
            <w:tcW w:w="15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使用资金</w:t>
            </w:r>
          </w:p>
        </w:tc>
        <w:tc>
          <w:tcPr>
            <w:tcW w:w="975" w:type="dxa"/>
            <w:gridSpan w:val="2"/>
            <w:tcBorders>
              <w:top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838"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w:t>
            </w:r>
          </w:p>
        </w:tc>
        <w:tc>
          <w:tcPr>
            <w:tcW w:w="86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万元</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bl>
    <w:p>
      <w:pPr>
        <w:pStyle w:val="2"/>
      </w:pP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w:t>
      </w:r>
      <w:r>
        <w:rPr>
          <w:rFonts w:hint="eastAsia" w:ascii="仿宋_GB2312" w:hAnsi="宋体" w:eastAsia="仿宋_GB2312" w:cs="宋体"/>
          <w:color w:val="000000"/>
          <w:kern w:val="0"/>
          <w:sz w:val="32"/>
          <w:szCs w:val="32"/>
          <w:lang w:val="en-US" w:eastAsia="zh-CN"/>
        </w:rPr>
        <w:t>4</w:t>
      </w:r>
      <w:r>
        <w:rPr>
          <w:rFonts w:hint="eastAsia" w:ascii="仿宋_GB2312" w:hAnsi="宋体" w:eastAsia="仿宋_GB2312" w:cs="宋体"/>
          <w:color w:val="000000"/>
          <w:kern w:val="0"/>
          <w:sz w:val="32"/>
          <w:szCs w:val="32"/>
        </w:rPr>
        <w:t>年全</w:t>
      </w:r>
      <w:r>
        <w:rPr>
          <w:rFonts w:ascii="仿宋_GB2312" w:hAnsi="宋体" w:eastAsia="仿宋_GB2312" w:cs="宋体"/>
          <w:color w:val="000000"/>
          <w:kern w:val="0"/>
          <w:sz w:val="32"/>
          <w:szCs w:val="32"/>
        </w:rPr>
        <w:t>年</w:t>
      </w:r>
      <w:r>
        <w:rPr>
          <w:rFonts w:hint="eastAsia" w:ascii="仿宋_GB2312" w:hAnsi="宋体" w:eastAsia="仿宋_GB2312" w:cs="宋体"/>
          <w:color w:val="000000"/>
          <w:kern w:val="0"/>
          <w:sz w:val="32"/>
          <w:szCs w:val="32"/>
        </w:rPr>
        <w:t>预算数</w:t>
      </w:r>
      <w:r>
        <w:rPr>
          <w:rFonts w:hint="eastAsia" w:ascii="仿宋_GB2312" w:hAnsi="仿宋" w:eastAsia="仿宋_GB2312"/>
          <w:strike w:val="0"/>
          <w:dstrike w:val="0"/>
          <w:sz w:val="32"/>
          <w:szCs w:val="32"/>
          <w:highlight w:val="none"/>
          <w:u w:val="none"/>
        </w:rPr>
        <w:t>15248.84</w:t>
      </w:r>
      <w:r>
        <w:rPr>
          <w:rFonts w:hint="eastAsia" w:ascii="仿宋_GB2312" w:hAnsi="宋体" w:eastAsia="仿宋_GB2312" w:cs="宋体"/>
          <w:color w:val="000000"/>
          <w:kern w:val="0"/>
          <w:sz w:val="32"/>
          <w:szCs w:val="32"/>
        </w:rPr>
        <w:t>万元</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其中</w:t>
      </w:r>
      <w:r>
        <w:rPr>
          <w:rFonts w:ascii="仿宋_GB2312" w:hAnsi="宋体" w:eastAsia="仿宋_GB2312" w:cs="宋体"/>
          <w:color w:val="000000"/>
          <w:kern w:val="0"/>
          <w:sz w:val="32"/>
          <w:szCs w:val="32"/>
        </w:rPr>
        <w:t>，基本</w:t>
      </w:r>
      <w:r>
        <w:rPr>
          <w:rFonts w:hint="eastAsia" w:ascii="仿宋_GB2312" w:hAnsi="宋体" w:eastAsia="仿宋_GB2312" w:cs="宋体"/>
          <w:color w:val="000000"/>
          <w:kern w:val="0"/>
          <w:sz w:val="32"/>
          <w:szCs w:val="32"/>
        </w:rPr>
        <w:t>支出</w:t>
      </w:r>
      <w:r>
        <w:rPr>
          <w:rFonts w:ascii="仿宋_GB2312" w:hAnsi="宋体" w:eastAsia="仿宋_GB2312" w:cs="宋体"/>
          <w:color w:val="000000"/>
          <w:kern w:val="0"/>
          <w:sz w:val="32"/>
          <w:szCs w:val="32"/>
        </w:rPr>
        <w:t>预算数</w:t>
      </w:r>
      <w:r>
        <w:rPr>
          <w:rFonts w:hint="eastAsia" w:ascii="仿宋_GB2312" w:hAnsi="仿宋" w:eastAsia="仿宋_GB2312"/>
          <w:strike w:val="0"/>
          <w:dstrike w:val="0"/>
          <w:sz w:val="32"/>
          <w:szCs w:val="32"/>
          <w:highlight w:val="none"/>
          <w:u w:val="none"/>
        </w:rPr>
        <w:t>4585.62</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项目支出预算数</w:t>
      </w:r>
      <w:r>
        <w:rPr>
          <w:rFonts w:hint="eastAsia" w:ascii="仿宋_GB2312" w:hAnsi="仿宋" w:eastAsia="仿宋_GB2312"/>
          <w:sz w:val="32"/>
          <w:szCs w:val="32"/>
          <w:highlight w:val="none"/>
          <w:u w:val="none"/>
        </w:rPr>
        <w:t>10663.22</w:t>
      </w:r>
      <w:r>
        <w:rPr>
          <w:rFonts w:ascii="仿宋_GB2312" w:hAnsi="宋体" w:eastAsia="仿宋_GB2312" w:cs="宋体"/>
          <w:color w:val="000000"/>
          <w:kern w:val="0"/>
          <w:sz w:val="32"/>
          <w:szCs w:val="32"/>
        </w:rPr>
        <w:t>万元，其他支出</w:t>
      </w:r>
      <w:r>
        <w:rPr>
          <w:rFonts w:hint="eastAsia" w:ascii="仿宋_GB2312" w:hAnsi="宋体" w:eastAsia="仿宋_GB2312" w:cs="宋体"/>
          <w:color w:val="000000"/>
          <w:kern w:val="0"/>
          <w:sz w:val="32"/>
          <w:szCs w:val="32"/>
        </w:rPr>
        <w:t>预算数</w:t>
      </w:r>
      <w:r>
        <w:rPr>
          <w:rFonts w:hint="eastAsia" w:ascii="仿宋_GB2312" w:hAnsi="宋体" w:eastAsia="仿宋_GB2312" w:cs="宋体"/>
          <w:color w:val="000000"/>
          <w:kern w:val="0"/>
          <w:sz w:val="32"/>
          <w:szCs w:val="32"/>
          <w:lang w:val="en-US" w:eastAsia="zh-CN"/>
        </w:rPr>
        <w:t>0</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资金总体</w:t>
      </w:r>
      <w:r>
        <w:rPr>
          <w:rFonts w:hint="eastAsia" w:ascii="仿宋_GB2312" w:hAnsi="宋体" w:eastAsia="仿宋_GB2312" w:cs="宋体"/>
          <w:color w:val="000000"/>
          <w:kern w:val="0"/>
          <w:sz w:val="32"/>
          <w:szCs w:val="32"/>
        </w:rPr>
        <w:t>支出</w:t>
      </w:r>
      <w:r>
        <w:rPr>
          <w:rFonts w:hint="eastAsia" w:ascii="仿宋_GB2312" w:hAnsi="仿宋" w:eastAsia="仿宋_GB2312"/>
          <w:strike w:val="0"/>
          <w:dstrike w:val="0"/>
          <w:sz w:val="32"/>
          <w:szCs w:val="32"/>
          <w:highlight w:val="none"/>
          <w:u w:val="none"/>
        </w:rPr>
        <w:t>15248.84</w:t>
      </w:r>
      <w:r>
        <w:rPr>
          <w:rFonts w:ascii="仿宋_GB2312" w:hAnsi="宋体" w:eastAsia="仿宋_GB2312" w:cs="宋体"/>
          <w:color w:val="000000"/>
          <w:kern w:val="0"/>
          <w:sz w:val="32"/>
          <w:szCs w:val="32"/>
        </w:rPr>
        <w:t>万元，其中，基本支出</w:t>
      </w:r>
      <w:r>
        <w:rPr>
          <w:rFonts w:hint="eastAsia" w:ascii="仿宋_GB2312" w:hAnsi="仿宋" w:eastAsia="仿宋_GB2312"/>
          <w:strike w:val="0"/>
          <w:dstrike w:val="0"/>
          <w:sz w:val="32"/>
          <w:szCs w:val="32"/>
          <w:highlight w:val="none"/>
          <w:u w:val="none"/>
        </w:rPr>
        <w:t>4585.62</w:t>
      </w:r>
      <w:r>
        <w:rPr>
          <w:rFonts w:ascii="仿宋_GB2312" w:hAnsi="宋体" w:eastAsia="仿宋_GB2312" w:cs="宋体"/>
          <w:color w:val="000000"/>
          <w:kern w:val="0"/>
          <w:sz w:val="32"/>
          <w:szCs w:val="32"/>
        </w:rPr>
        <w:t>万元，项目</w:t>
      </w:r>
      <w:r>
        <w:rPr>
          <w:rFonts w:hint="eastAsia" w:ascii="仿宋_GB2312" w:hAnsi="宋体" w:eastAsia="仿宋_GB2312" w:cs="宋体"/>
          <w:color w:val="000000"/>
          <w:kern w:val="0"/>
          <w:sz w:val="32"/>
          <w:szCs w:val="32"/>
        </w:rPr>
        <w:t>支出</w:t>
      </w:r>
      <w:r>
        <w:rPr>
          <w:rFonts w:hint="eastAsia" w:ascii="仿宋_GB2312" w:hAnsi="仿宋" w:eastAsia="仿宋_GB2312"/>
          <w:sz w:val="32"/>
          <w:szCs w:val="32"/>
          <w:highlight w:val="none"/>
          <w:u w:val="none"/>
        </w:rPr>
        <w:t>10663.22</w:t>
      </w:r>
      <w:r>
        <w:rPr>
          <w:rFonts w:ascii="仿宋_GB2312" w:hAnsi="宋体" w:eastAsia="仿宋_GB2312" w:cs="宋体"/>
          <w:color w:val="000000"/>
          <w:kern w:val="0"/>
          <w:sz w:val="32"/>
          <w:szCs w:val="32"/>
        </w:rPr>
        <w:t>万元，其他支出</w:t>
      </w:r>
      <w:r>
        <w:rPr>
          <w:rFonts w:hint="eastAsia" w:ascii="仿宋_GB2312" w:hAnsi="宋体" w:eastAsia="仿宋_GB2312" w:cs="宋体"/>
          <w:color w:val="000000"/>
          <w:kern w:val="0"/>
          <w:sz w:val="32"/>
          <w:szCs w:val="32"/>
          <w:lang w:val="en-US" w:eastAsia="zh-CN"/>
        </w:rPr>
        <w:t>0</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预算</w:t>
      </w:r>
      <w:r>
        <w:rPr>
          <w:rFonts w:ascii="仿宋_GB2312" w:hAnsi="宋体" w:eastAsia="仿宋_GB2312" w:cs="宋体"/>
          <w:color w:val="000000"/>
          <w:kern w:val="0"/>
          <w:sz w:val="32"/>
          <w:szCs w:val="32"/>
        </w:rPr>
        <w:t>执行率为</w:t>
      </w:r>
      <w:r>
        <w:rPr>
          <w:rFonts w:hint="eastAsia" w:ascii="仿宋_GB2312" w:hAnsi="宋体" w:eastAsia="仿宋_GB2312" w:cs="宋体"/>
          <w:color w:val="000000"/>
          <w:kern w:val="0"/>
          <w:sz w:val="32"/>
          <w:szCs w:val="32"/>
          <w:lang w:val="en-US" w:eastAsia="zh-CN"/>
        </w:rPr>
        <w:t>100%</w:t>
      </w:r>
      <w:r>
        <w:rPr>
          <w:rFonts w:hint="eastAsia" w:ascii="仿宋_GB2312" w:hAnsi="宋体" w:eastAsia="仿宋_GB2312" w:cs="宋体"/>
          <w:color w:val="000000"/>
          <w:kern w:val="0"/>
          <w:sz w:val="32"/>
          <w:szCs w:val="32"/>
        </w:rPr>
        <w:t>。</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（一）产出完成情况分析</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1.产出数量</w:t>
      </w:r>
    </w:p>
    <w:p>
      <w:pPr>
        <w:spacing w:line="600" w:lineRule="exact"/>
        <w:ind w:firstLine="640" w:firstLineChars="200"/>
        <w:rPr>
          <w:rFonts w:hint="eastAsia" w:ascii="仿宋_GB2312" w:hAnsi="仿宋" w:eastAsia="仿宋_GB2312"/>
          <w:strike w:val="0"/>
          <w:dstrike w:val="0"/>
          <w:sz w:val="32"/>
          <w:szCs w:val="32"/>
          <w:highlight w:val="none"/>
          <w:u w:val="none"/>
          <w:lang w:val="en-US" w:eastAsia="zh-CN"/>
        </w:rPr>
      </w:pPr>
      <w:r>
        <w:rPr>
          <w:rFonts w:hint="eastAsia" w:ascii="仿宋_GB2312" w:hAnsi="仿宋" w:eastAsia="仿宋_GB2312"/>
          <w:strike w:val="0"/>
          <w:dstrike w:val="0"/>
          <w:sz w:val="32"/>
          <w:szCs w:val="32"/>
          <w:highlight w:val="none"/>
          <w:u w:val="none"/>
          <w:lang w:val="en-US" w:eastAsia="zh-CN"/>
        </w:rPr>
        <w:t>基层党组织工作经费方面，落实基层党建工作责任制，加强街道党工委自身建设和以党支部为核心的基层党组织建设，统筹推进区域化党建和“两新”组织党建、社区党建工作，举办活动数量达到20余次。城市协管员方面，按照现有城市协管员人员人数支付。社区工作者方面，按照现有社工人员人数支付。</w:t>
      </w:r>
    </w:p>
    <w:p>
      <w:pPr>
        <w:numPr>
          <w:ilvl w:val="0"/>
          <w:numId w:val="1"/>
        </w:num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质量</w:t>
      </w:r>
    </w:p>
    <w:p>
      <w:pPr>
        <w:pStyle w:val="2"/>
        <w:numPr>
          <w:ilvl w:val="0"/>
          <w:numId w:val="0"/>
        </w:numPr>
      </w:pPr>
      <w:r>
        <w:rPr>
          <w:rFonts w:hint="eastAsia" w:ascii="仿宋_GB2312" w:hAnsi="仿宋" w:eastAsia="仿宋_GB2312"/>
          <w:strike w:val="0"/>
          <w:dstrike w:val="0"/>
          <w:sz w:val="32"/>
          <w:szCs w:val="32"/>
          <w:highlight w:val="none"/>
          <w:u w:val="none"/>
          <w:lang w:val="en-US" w:eastAsia="zh-CN"/>
        </w:rPr>
        <w:t>基层党组织工作经费方面，</w:t>
      </w:r>
      <w:r>
        <w:rPr>
          <w:rFonts w:hint="default" w:ascii="仿宋_GB2312" w:hAnsi="宋体" w:eastAsia="仿宋_GB2312" w:cs="宋体"/>
          <w:color w:val="000000"/>
          <w:kern w:val="0"/>
          <w:sz w:val="32"/>
          <w:szCs w:val="32"/>
          <w:highlight w:val="none"/>
          <w:lang w:val="en-US" w:eastAsia="zh-CN" w:bidi="ar-SA"/>
        </w:rPr>
        <w:t>使用基层党组织服务群众经费,突出基层党组织的政治属性，强化党组织的政治功能，通过高质量、精准化的服务，为党员群众办实事解难题，提升基层党组织的组织力、凝聚力、号召力。</w:t>
      </w:r>
      <w:r>
        <w:rPr>
          <w:rFonts w:hint="eastAsia" w:ascii="仿宋_GB2312" w:hAnsi="仿宋" w:eastAsia="仿宋_GB2312"/>
          <w:strike w:val="0"/>
          <w:dstrike w:val="0"/>
          <w:sz w:val="32"/>
          <w:szCs w:val="32"/>
          <w:highlight w:val="none"/>
          <w:u w:val="none"/>
          <w:lang w:val="en-US" w:eastAsia="zh-CN"/>
        </w:rPr>
        <w:t>城市协管员方面，按照现有城市协管员人员人数支付相关费用，严肃纪律，合理合规支出。社区工作者方面，按照现有社工人员人数支付相关费用，严肃纪律，合理合规支出。</w:t>
      </w:r>
    </w:p>
    <w:p>
      <w:pPr>
        <w:numPr>
          <w:ilvl w:val="0"/>
          <w:numId w:val="1"/>
        </w:num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产出进度</w:t>
      </w:r>
    </w:p>
    <w:p>
      <w:pPr>
        <w:pStyle w:val="4"/>
        <w:ind w:firstLine="560"/>
        <w:rPr>
          <w:rFonts w:hint="eastAsia" w:eastAsia="宋体"/>
          <w:lang w:eastAsia="zh-CN"/>
        </w:rPr>
      </w:pPr>
      <w:r>
        <w:rPr>
          <w:rFonts w:hint="eastAsia" w:ascii="仿宋_GB2312" w:hAnsi="仿宋" w:eastAsia="仿宋_GB2312" w:cs="仿宋"/>
          <w:bCs/>
          <w:kern w:val="2"/>
          <w:sz w:val="32"/>
          <w:szCs w:val="32"/>
          <w:lang w:val="en-US" w:eastAsia="zh-CN" w:bidi="ar-SA"/>
        </w:rPr>
        <w:t>2024年，我单位根据预算申报内容执行相关项目，项目专款专用，资金拨付及预算调整均有完整的审批程序。</w:t>
      </w:r>
    </w:p>
    <w:p>
      <w:pPr>
        <w:numPr>
          <w:ilvl w:val="0"/>
          <w:numId w:val="1"/>
        </w:num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成本</w:t>
      </w:r>
      <w:r>
        <w:rPr>
          <w:rFonts w:hint="eastAsia" w:ascii="仿宋_GB2312" w:hAnsi="宋体" w:eastAsia="仿宋_GB2312" w:cs="宋体"/>
          <w:color w:val="000000"/>
          <w:kern w:val="0"/>
          <w:sz w:val="32"/>
          <w:szCs w:val="32"/>
        </w:rPr>
        <w:t xml:space="preserve">  </w:t>
      </w:r>
    </w:p>
    <w:p>
      <w:pPr>
        <w:numPr>
          <w:ilvl w:val="0"/>
          <w:numId w:val="0"/>
        </w:numPr>
        <w:spacing w:line="600" w:lineRule="exact"/>
        <w:ind w:firstLine="640" w:firstLineChars="200"/>
        <w:rPr>
          <w:rFonts w:ascii="仿宋_GB2312" w:hAnsi="宋体" w:eastAsia="仿宋_GB2312" w:cs="宋体"/>
          <w:color w:val="000000"/>
          <w:kern w:val="0"/>
          <w:sz w:val="32"/>
          <w:szCs w:val="32"/>
        </w:rPr>
      </w:pPr>
      <w:r>
        <w:rPr>
          <w:rFonts w:hint="eastAsia" w:ascii="仿宋_GB2312" w:hAnsi="仿宋" w:eastAsia="仿宋_GB2312" w:cs="仿宋"/>
          <w:bCs/>
          <w:kern w:val="2"/>
          <w:sz w:val="32"/>
          <w:szCs w:val="32"/>
          <w:lang w:val="en-US" w:eastAsia="zh-CN" w:bidi="ar-SA"/>
        </w:rPr>
        <w:t xml:space="preserve">我单位在预算执行过程中，能够遵守相关政策法规的要求，严格财政支出的成本控制，在执行中对偏差情况及时申报调整预算，提高了预算执行率，也进一步减少预算成本占用；下一步需要继续强化预算项目按计划及时完成了年初设定的目标任务，对于管理过程资料加强档案全过程的完整性，提高产出实际达成情况的可考核性。  </w:t>
      </w:r>
      <w:r>
        <w:rPr>
          <w:rFonts w:hint="eastAsia" w:ascii="仿宋_GB2312" w:hAnsi="宋体" w:eastAsia="仿宋_GB2312" w:cs="宋体"/>
          <w:color w:val="000000"/>
          <w:kern w:val="0"/>
          <w:sz w:val="32"/>
          <w:szCs w:val="32"/>
        </w:rPr>
        <w:t xml:space="preserve">                                  </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（二）效果</w:t>
      </w:r>
      <w:r>
        <w:rPr>
          <w:rFonts w:ascii="楷体_GB2312" w:eastAsia="楷体_GB2312"/>
          <w:sz w:val="32"/>
          <w:szCs w:val="32"/>
        </w:rPr>
        <w:t>实现情况分析</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1.经济</w:t>
      </w:r>
      <w:r>
        <w:rPr>
          <w:rFonts w:ascii="仿宋_GB2312" w:hAnsi="宋体" w:eastAsia="仿宋_GB2312" w:cs="宋体"/>
          <w:color w:val="000000"/>
          <w:kern w:val="0"/>
          <w:sz w:val="32"/>
          <w:szCs w:val="32"/>
        </w:rPr>
        <w:t>效益</w:t>
      </w:r>
    </w:p>
    <w:p>
      <w:pPr>
        <w:spacing w:line="600" w:lineRule="exact"/>
        <w:ind w:firstLine="640" w:firstLineChars="200"/>
        <w:rPr>
          <w:rFonts w:hint="eastAsia" w:ascii="仿宋_GB2312" w:hAnsi="仿宋" w:eastAsia="仿宋_GB2312"/>
          <w:strike w:val="0"/>
          <w:dstrike w:val="0"/>
          <w:sz w:val="32"/>
          <w:szCs w:val="32"/>
          <w:highlight w:val="none"/>
          <w:u w:val="none"/>
          <w:lang w:val="en-US" w:eastAsia="zh-CN"/>
        </w:rPr>
      </w:pPr>
      <w:r>
        <w:rPr>
          <w:rFonts w:hint="eastAsia" w:ascii="仿宋_GB2312" w:hAnsi="仿宋" w:eastAsia="仿宋_GB2312"/>
          <w:strike w:val="0"/>
          <w:dstrike w:val="0"/>
          <w:sz w:val="32"/>
          <w:szCs w:val="32"/>
          <w:highlight w:val="none"/>
          <w:u w:val="none"/>
          <w:lang w:val="en-US" w:eastAsia="zh-CN"/>
        </w:rPr>
        <w:t>我单位合理合规使用资金，使预算资金较好保障了各预算单位运转及主要职能工作，能够按照我单位工作要点，保质保量完成工作任务。</w:t>
      </w:r>
    </w:p>
    <w:p>
      <w:pPr>
        <w:numPr>
          <w:ilvl w:val="0"/>
          <w:numId w:val="2"/>
        </w:num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社会效益</w:t>
      </w:r>
    </w:p>
    <w:p>
      <w:pPr>
        <w:pStyle w:val="2"/>
        <w:numPr>
          <w:ilvl w:val="0"/>
          <w:numId w:val="0"/>
        </w:numPr>
        <w:ind w:firstLine="640" w:firstLineChars="200"/>
      </w:pPr>
      <w:r>
        <w:rPr>
          <w:rFonts w:hint="eastAsia" w:ascii="仿宋_GB2312" w:hAnsi="仿宋" w:eastAsia="仿宋_GB2312"/>
          <w:strike w:val="0"/>
          <w:dstrike w:val="0"/>
          <w:sz w:val="32"/>
          <w:szCs w:val="32"/>
          <w:highlight w:val="none"/>
          <w:u w:val="none"/>
          <w:lang w:val="en-US" w:eastAsia="zh-CN"/>
        </w:rPr>
        <w:t>重点关注居民迫切需要的重点服务事项，切实为辖区居民改善居住环境，解决重点问题，丰富居民日常生活。将优秀的思想成果转化到办实事的工作中去，不断增强基层群众的获得感、满足感、幸福感。</w:t>
      </w:r>
    </w:p>
    <w:p>
      <w:pPr>
        <w:numPr>
          <w:ilvl w:val="0"/>
          <w:numId w:val="2"/>
        </w:num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环境效益</w:t>
      </w:r>
    </w:p>
    <w:p>
      <w:pPr>
        <w:spacing w:line="600" w:lineRule="exact"/>
        <w:ind w:firstLine="640" w:firstLineChars="200"/>
        <w:rPr>
          <w:rFonts w:hint="eastAsia"/>
        </w:rPr>
      </w:pPr>
      <w:r>
        <w:rPr>
          <w:rFonts w:hint="eastAsia" w:ascii="仿宋_GB2312" w:hAnsi="仿宋" w:eastAsia="仿宋_GB2312"/>
          <w:strike w:val="0"/>
          <w:dstrike w:val="0"/>
          <w:sz w:val="32"/>
          <w:szCs w:val="32"/>
          <w:highlight w:val="none"/>
          <w:u w:val="none"/>
          <w:lang w:val="en-US" w:eastAsia="zh-CN"/>
        </w:rPr>
        <w:t>我单位的履职及2024年的工作任务不产生直接或间接的环境效益。</w:t>
      </w:r>
    </w:p>
    <w:p>
      <w:pPr>
        <w:numPr>
          <w:ilvl w:val="0"/>
          <w:numId w:val="3"/>
        </w:num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可持续</w:t>
      </w:r>
      <w:r>
        <w:rPr>
          <w:rFonts w:ascii="仿宋_GB2312" w:hAnsi="宋体" w:eastAsia="仿宋_GB2312" w:cs="宋体"/>
          <w:color w:val="000000"/>
          <w:kern w:val="0"/>
          <w:sz w:val="32"/>
          <w:szCs w:val="32"/>
        </w:rPr>
        <w:t>性影响</w:t>
      </w:r>
    </w:p>
    <w:p>
      <w:pPr>
        <w:pStyle w:val="2"/>
        <w:numPr>
          <w:ilvl w:val="0"/>
          <w:numId w:val="0"/>
        </w:numPr>
        <w:ind w:firstLine="640" w:firstLineChars="200"/>
      </w:pPr>
      <w:r>
        <w:rPr>
          <w:rFonts w:hint="eastAsia" w:ascii="仿宋_GB2312" w:hAnsi="仿宋" w:eastAsia="仿宋_GB2312"/>
          <w:strike w:val="0"/>
          <w:dstrike w:val="0"/>
          <w:sz w:val="32"/>
          <w:szCs w:val="32"/>
          <w:highlight w:val="none"/>
          <w:u w:val="none"/>
          <w:lang w:val="en-US" w:eastAsia="zh-CN"/>
        </w:rPr>
        <w:t>我单位的履职及2024年的工作任务不产生直接或间接的可持续性影响。</w:t>
      </w:r>
    </w:p>
    <w:p>
      <w:pPr>
        <w:numPr>
          <w:ilvl w:val="0"/>
          <w:numId w:val="4"/>
        </w:num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服务对象</w:t>
      </w:r>
      <w:r>
        <w:rPr>
          <w:rFonts w:ascii="仿宋_GB2312" w:hAnsi="宋体" w:eastAsia="仿宋_GB2312" w:cs="宋体"/>
          <w:color w:val="000000"/>
          <w:kern w:val="0"/>
          <w:sz w:val="32"/>
          <w:szCs w:val="32"/>
        </w:rPr>
        <w:t>满意度</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pPr>
      <w:r>
        <w:rPr>
          <w:rFonts w:hint="eastAsia" w:ascii="仿宋_GB2312" w:hAnsi="仿宋" w:eastAsia="仿宋_GB2312" w:cs="Times New Roman"/>
          <w:strike w:val="0"/>
          <w:dstrike w:val="0"/>
          <w:kern w:val="2"/>
          <w:sz w:val="32"/>
          <w:szCs w:val="32"/>
          <w:highlight w:val="none"/>
          <w:u w:val="none"/>
          <w:lang w:val="en-US" w:eastAsia="zh-CN" w:bidi="ar-SA"/>
        </w:rPr>
        <w:t>我单位针对各项项目开展了满意度调查，服务对象对该项目的实施过程满意度较高。通过家庭走访、电话回访等方式开展满意度调查，</w:t>
      </w:r>
      <w:r>
        <w:rPr>
          <w:rFonts w:hint="eastAsia" w:ascii="仿宋_GB2312" w:hAnsi="宋体" w:eastAsia="仿宋_GB2312" w:cs="宋体"/>
          <w:color w:val="000000"/>
          <w:kern w:val="0"/>
          <w:sz w:val="32"/>
          <w:szCs w:val="32"/>
          <w:highlight w:val="none"/>
          <w:lang w:val="en-US" w:eastAsia="zh-CN" w:bidi="ar-SA"/>
        </w:rPr>
        <w:t>据平常工作中的了解，服务对象满意度达到95%以上。</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pPr>
        <w:spacing w:line="600" w:lineRule="exact"/>
        <w:ind w:left="105" w:leftChars="50" w:firstLine="480" w:firstLineChars="150"/>
        <w:rPr>
          <w:rFonts w:hint="eastAsia" w:ascii="楷体_GB2312" w:eastAsia="楷体_GB2312"/>
          <w:sz w:val="32"/>
          <w:szCs w:val="32"/>
        </w:rPr>
      </w:pPr>
      <w:r>
        <w:rPr>
          <w:rFonts w:hint="eastAsia" w:ascii="楷体_GB2312" w:eastAsia="楷体_GB2312"/>
          <w:sz w:val="32"/>
          <w:szCs w:val="32"/>
        </w:rPr>
        <w:t>（一）财务管理</w:t>
      </w:r>
    </w:p>
    <w:p>
      <w:p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仿宋" w:eastAsia="仿宋_GB2312"/>
          <w:strike w:val="0"/>
          <w:dstrike w:val="0"/>
          <w:sz w:val="32"/>
          <w:szCs w:val="32"/>
          <w:highlight w:val="none"/>
          <w:u w:val="none"/>
          <w:lang w:val="en-US" w:eastAsia="zh-CN"/>
        </w:rPr>
        <w:t>我街道不断完善财务管理制度，严格按照法律法规以及有关政策规定使用资金。资金支出按照街道工程项目管理制度、财务制度执行。明确提出资金使用部门是各个项目的管理者，负责立项，并在实施中进行指导和监督，确保项目实施达到既定目标。具体实施过程根据“三重一大”报主管领导和主要领导集体研究后执行。部门对项目资金使用的合法性</w:t>
      </w:r>
      <w:r>
        <w:rPr>
          <w:rFonts w:hint="eastAsia" w:ascii="仿宋_GB2312" w:hAnsi="宋体" w:eastAsia="仿宋_GB2312" w:cs="宋体"/>
          <w:color w:val="000000"/>
          <w:kern w:val="0"/>
          <w:sz w:val="32"/>
          <w:szCs w:val="32"/>
          <w:lang w:val="en-US" w:eastAsia="zh-CN"/>
        </w:rPr>
        <w:t>、合规性、安全性、有效性负主要责任，街道工委办事处对资金使用情况负有监督责任。具体如下：</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1.</w:t>
      </w:r>
      <w:r>
        <w:rPr>
          <w:rFonts w:hint="eastAsia" w:ascii="仿宋_GB2312" w:hAnsi="宋体" w:eastAsia="仿宋_GB2312" w:cs="宋体"/>
          <w:color w:val="000000"/>
          <w:kern w:val="0"/>
          <w:sz w:val="32"/>
          <w:szCs w:val="32"/>
        </w:rPr>
        <w:t>财务管理制度健全性</w:t>
      </w:r>
    </w:p>
    <w:p>
      <w:p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严格执行街道办事处“三重一大”制度，对项目的决策集体决定。要求项目部门认真做好项目前期调研，制定有效的项目管理办法和实施方案，明确项目管理部门和项目负责人职责，确保项目立项规范、实施有效。</w:t>
      </w:r>
    </w:p>
    <w:p>
      <w:pPr>
        <w:numPr>
          <w:ilvl w:val="0"/>
          <w:numId w:val="5"/>
        </w:num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资金使用合规性</w:t>
      </w:r>
      <w:r>
        <w:rPr>
          <w:rFonts w:ascii="仿宋_GB2312" w:hAnsi="宋体" w:eastAsia="仿宋_GB2312" w:cs="宋体"/>
          <w:color w:val="000000"/>
          <w:kern w:val="0"/>
          <w:sz w:val="32"/>
          <w:szCs w:val="32"/>
        </w:rPr>
        <w:t>和安全性</w:t>
      </w:r>
    </w:p>
    <w:p>
      <w:pPr>
        <w:pageBreakBefore w:val="0"/>
        <w:kinsoku/>
        <w:wordWrap/>
        <w:overflowPunct/>
        <w:topLinePunct w:val="0"/>
        <w:autoSpaceDE/>
        <w:autoSpaceDN/>
        <w:bidi w:val="0"/>
        <w:snapToGrid/>
        <w:spacing w:line="600" w:lineRule="exact"/>
        <w:ind w:left="105" w:leftChars="50" w:firstLine="640" w:firstLineChars="20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认真履行政府采购、组织项目预算和结算评审。对超限额工程项目以及相关的设计、监理、勘察等相关二类费按照政府采购流程、《中华人民共和国招标投标法》及街道工程管理办法的相关规定，分别采取比选、竞争性磋商、公开招投标的方式进行了施工单位及二类费单位的选定，并根据选定结果签订了施工合同和服务合同。在工程组织施工过程中，街道工作人员联合设计、监理公司按照施工图纸、工程造价及工程质量要求，对施工现场进行全程监督、检查，确保工程按图、按质施工。在工程资料收集管理方面，严格按照档案资料管理规定，对与项目有关的工程造价清单、招投标资料、施工合同、施工过程资料等进行收集、整理和归档。</w:t>
      </w:r>
    </w:p>
    <w:p>
      <w:pPr>
        <w:numPr>
          <w:ilvl w:val="0"/>
          <w:numId w:val="6"/>
        </w:num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会计</w:t>
      </w:r>
      <w:r>
        <w:rPr>
          <w:rFonts w:ascii="仿宋_GB2312" w:hAnsi="宋体" w:eastAsia="仿宋_GB2312" w:cs="宋体"/>
          <w:color w:val="000000"/>
          <w:kern w:val="0"/>
          <w:sz w:val="32"/>
          <w:szCs w:val="32"/>
        </w:rPr>
        <w:t>基础信息完善性</w:t>
      </w:r>
    </w:p>
    <w:p>
      <w:pPr>
        <w:spacing w:line="600" w:lineRule="exact"/>
        <w:ind w:left="105" w:leftChars="50" w:firstLine="480" w:firstLineChars="15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华文仿宋" w:eastAsia="仿宋_GB2312" w:cs="华文仿宋"/>
          <w:sz w:val="32"/>
          <w:szCs w:val="32"/>
          <w:highlight w:val="none"/>
        </w:rPr>
        <w:t>建立专项资金账页，</w:t>
      </w:r>
      <w:r>
        <w:rPr>
          <w:rFonts w:hint="eastAsia" w:ascii="仿宋_GB2312" w:hAnsi="仿宋_GB2312" w:eastAsia="仿宋_GB2312" w:cs="仿宋_GB2312"/>
          <w:b w:val="0"/>
          <w:bCs w:val="0"/>
          <w:kern w:val="2"/>
          <w:sz w:val="32"/>
          <w:szCs w:val="32"/>
          <w:highlight w:val="none"/>
          <w:lang w:val="en-US" w:eastAsia="zh-CN" w:bidi="ar-SA"/>
        </w:rPr>
        <w:t>合同及相关票据等会计资料保存完整。在资金支付时，以合同约定及施工进度情况作为支付依据，严格按照双井街道各项财务管理制度及报销流程，区四部门会议审议通过的项目和金额，做到专款专用。</w:t>
      </w:r>
    </w:p>
    <w:p>
      <w:pPr>
        <w:numPr>
          <w:ilvl w:val="0"/>
          <w:numId w:val="7"/>
        </w:numPr>
        <w:spacing w:line="600" w:lineRule="exact"/>
        <w:ind w:left="105" w:leftChars="50" w:firstLine="480" w:firstLineChars="150"/>
        <w:rPr>
          <w:rFonts w:hint="eastAsia" w:ascii="楷体_GB2312" w:eastAsia="楷体_GB2312"/>
          <w:sz w:val="32"/>
          <w:szCs w:val="32"/>
        </w:rPr>
      </w:pPr>
      <w:r>
        <w:rPr>
          <w:rFonts w:hint="eastAsia" w:ascii="楷体_GB2312" w:eastAsia="楷体_GB2312"/>
          <w:sz w:val="32"/>
          <w:szCs w:val="32"/>
        </w:rPr>
        <w:t>资产管理</w:t>
      </w:r>
    </w:p>
    <w:p>
      <w:pPr>
        <w:pageBreakBefore w:val="0"/>
        <w:numPr>
          <w:ilvl w:val="0"/>
          <w:numId w:val="0"/>
        </w:numPr>
        <w:kinsoku/>
        <w:wordWrap/>
        <w:overflowPunct/>
        <w:topLinePunct w:val="0"/>
        <w:autoSpaceDE/>
        <w:autoSpaceDN/>
        <w:bidi w:val="0"/>
        <w:snapToGrid/>
        <w:spacing w:line="600" w:lineRule="exact"/>
        <w:ind w:firstLine="640" w:firstLineChars="200"/>
      </w:pPr>
      <w:r>
        <w:rPr>
          <w:rFonts w:hint="eastAsia" w:ascii="仿宋_GB2312" w:hAnsi="华文仿宋" w:eastAsia="仿宋_GB2312" w:cs="华文仿宋"/>
          <w:sz w:val="32"/>
          <w:szCs w:val="32"/>
        </w:rPr>
        <w:t>使用专项资金形成的资产，严格按照国有资产管理有关规定加强管理，防止国有资产流失。</w:t>
      </w:r>
    </w:p>
    <w:p>
      <w:pPr>
        <w:numPr>
          <w:ilvl w:val="0"/>
          <w:numId w:val="7"/>
        </w:num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绩效</w:t>
      </w:r>
      <w:r>
        <w:rPr>
          <w:rFonts w:ascii="楷体_GB2312" w:eastAsia="楷体_GB2312"/>
          <w:sz w:val="32"/>
          <w:szCs w:val="32"/>
        </w:rPr>
        <w:t>管理</w:t>
      </w:r>
    </w:p>
    <w:p>
      <w:pPr>
        <w:spacing w:line="600" w:lineRule="exact"/>
        <w:ind w:left="105" w:leftChars="50" w:firstLine="480" w:firstLineChars="150"/>
      </w:pPr>
      <w:r>
        <w:rPr>
          <w:rFonts w:hint="eastAsia" w:ascii="仿宋_GB2312" w:hAnsi="仿宋_GB2312" w:eastAsia="仿宋_GB2312" w:cs="仿宋_GB2312"/>
          <w:b w:val="0"/>
          <w:bCs w:val="0"/>
          <w:sz w:val="32"/>
          <w:szCs w:val="32"/>
        </w:rPr>
        <w:t>加大绩效</w:t>
      </w:r>
      <w:r>
        <w:rPr>
          <w:rFonts w:hint="eastAsia" w:ascii="仿宋_GB2312" w:hAnsi="仿宋_GB2312" w:eastAsia="仿宋_GB2312" w:cs="仿宋_GB2312"/>
          <w:b w:val="0"/>
          <w:bCs w:val="0"/>
          <w:sz w:val="32"/>
          <w:szCs w:val="32"/>
          <w:lang w:eastAsia="zh-CN"/>
        </w:rPr>
        <w:t>跟踪、绩效评价</w:t>
      </w:r>
      <w:r>
        <w:rPr>
          <w:rFonts w:hint="eastAsia" w:ascii="仿宋_GB2312" w:hAnsi="仿宋_GB2312" w:eastAsia="仿宋_GB2312" w:cs="仿宋_GB2312"/>
          <w:b w:val="0"/>
          <w:bCs w:val="0"/>
          <w:sz w:val="32"/>
          <w:szCs w:val="32"/>
        </w:rPr>
        <w:t>工作推进力度。</w:t>
      </w:r>
      <w:r>
        <w:rPr>
          <w:rFonts w:hint="eastAsia" w:ascii="仿宋_GB2312" w:hAnsi="仿宋_GB2312" w:eastAsia="仿宋_GB2312" w:cs="仿宋_GB2312"/>
          <w:b w:val="0"/>
          <w:bCs w:val="0"/>
          <w:sz w:val="32"/>
          <w:szCs w:val="32"/>
          <w:lang w:eastAsia="zh-CN"/>
        </w:rPr>
        <w:t>要求</w:t>
      </w:r>
      <w:r>
        <w:rPr>
          <w:rFonts w:hint="eastAsia" w:ascii="仿宋_GB2312" w:hAnsi="仿宋_GB2312" w:eastAsia="仿宋_GB2312" w:cs="仿宋_GB2312"/>
          <w:b w:val="0"/>
          <w:bCs w:val="0"/>
          <w:sz w:val="32"/>
          <w:szCs w:val="32"/>
        </w:rPr>
        <w:t>设置预算绩效指标科学，使其更加贴合街道工作实际，避免预算支出与实际执行出现较大偏差的情况</w:t>
      </w:r>
      <w:r>
        <w:rPr>
          <w:rFonts w:hint="eastAsia" w:ascii="仿宋_GB2312" w:hAnsi="仿宋_GB2312" w:eastAsia="仿宋_GB2312" w:cs="仿宋_GB2312"/>
          <w:b w:val="0"/>
          <w:bCs w:val="0"/>
          <w:sz w:val="32"/>
          <w:szCs w:val="32"/>
          <w:lang w:eastAsia="zh-CN"/>
        </w:rPr>
        <w:t>，以</w:t>
      </w:r>
      <w:r>
        <w:rPr>
          <w:rFonts w:hint="eastAsia" w:ascii="仿宋_GB2312" w:hAnsi="仿宋_GB2312" w:eastAsia="仿宋_GB2312" w:cs="仿宋_GB2312"/>
          <w:b w:val="0"/>
          <w:bCs w:val="0"/>
          <w:sz w:val="32"/>
          <w:szCs w:val="32"/>
        </w:rPr>
        <w:t>保证各预算绩效指标的顺利实施。</w:t>
      </w:r>
      <w:r>
        <w:rPr>
          <w:rFonts w:hint="eastAsia" w:ascii="仿宋_GB2312" w:hAnsi="仿宋_GB2312" w:eastAsia="仿宋_GB2312" w:cs="仿宋_GB2312"/>
          <w:b w:val="0"/>
          <w:bCs w:val="0"/>
          <w:sz w:val="32"/>
          <w:szCs w:val="32"/>
          <w:lang w:eastAsia="zh-CN"/>
        </w:rPr>
        <w:t>对于未达到预期绩效目标或者执行进度滞后的项目，</w:t>
      </w:r>
      <w:r>
        <w:rPr>
          <w:rFonts w:hint="eastAsia" w:ascii="仿宋_GB2312" w:hAnsi="仿宋_GB2312" w:eastAsia="仿宋_GB2312" w:cs="仿宋_GB2312"/>
          <w:b w:val="0"/>
          <w:bCs w:val="0"/>
          <w:kern w:val="2"/>
          <w:sz w:val="32"/>
          <w:szCs w:val="32"/>
          <w:highlight w:val="none"/>
          <w:lang w:val="en-US" w:eastAsia="zh-CN" w:bidi="ar-SA"/>
        </w:rPr>
        <w:t>召开会议，提出整改措施。积极开展部门绩效评价自评工作，努力探索工作方法，积累工作经验。</w:t>
      </w:r>
    </w:p>
    <w:p>
      <w:pPr>
        <w:numPr>
          <w:ilvl w:val="0"/>
          <w:numId w:val="7"/>
        </w:numPr>
        <w:spacing w:line="600" w:lineRule="exact"/>
        <w:ind w:left="105" w:leftChars="50" w:firstLine="480" w:firstLineChars="150"/>
        <w:rPr>
          <w:rFonts w:hint="eastAsia" w:ascii="黑体" w:hAnsi="黑体" w:eastAsia="黑体" w:cs="宋体"/>
          <w:color w:val="000000"/>
          <w:kern w:val="0"/>
          <w:sz w:val="32"/>
          <w:szCs w:val="32"/>
          <w:lang w:eastAsia="zh-CN"/>
        </w:rPr>
      </w:pPr>
      <w:r>
        <w:rPr>
          <w:rFonts w:hint="eastAsia" w:ascii="楷体_GB2312" w:eastAsia="楷体_GB2312"/>
          <w:sz w:val="32"/>
          <w:szCs w:val="32"/>
        </w:rPr>
        <w:t>结转结余率</w:t>
      </w:r>
    </w:p>
    <w:p>
      <w:pPr>
        <w:spacing w:line="600" w:lineRule="exact"/>
        <w:ind w:left="105" w:leftChars="50" w:firstLine="800" w:firstLineChars="250"/>
        <w:rPr>
          <w:rFonts w:hint="eastAsia"/>
        </w:rPr>
      </w:pPr>
      <w:r>
        <w:rPr>
          <w:rFonts w:hint="eastAsia" w:ascii="仿宋_GB2312" w:hAnsi="仿宋_GB2312" w:eastAsia="仿宋_GB2312" w:cs="仿宋_GB2312"/>
          <w:b w:val="0"/>
          <w:bCs w:val="0"/>
          <w:kern w:val="2"/>
          <w:sz w:val="32"/>
          <w:szCs w:val="32"/>
          <w:highlight w:val="none"/>
          <w:lang w:val="en-US" w:eastAsia="zh-CN" w:bidi="ar-SA"/>
        </w:rPr>
        <w:t>2024年预算资金结转了一项资金，该资金名为“产业发展保障资金”。该资金的结转是符合上级政策与标准，用于支付跨年度的食堂合同和安保合同。资金总额为426.74万元，结转结余率为2.80%</w:t>
      </w:r>
    </w:p>
    <w:p>
      <w:pPr>
        <w:numPr>
          <w:ilvl w:val="0"/>
          <w:numId w:val="7"/>
        </w:numPr>
        <w:spacing w:line="600" w:lineRule="exact"/>
        <w:ind w:left="105" w:leftChars="50" w:firstLine="480" w:firstLineChars="150"/>
        <w:rPr>
          <w:rFonts w:hint="eastAsia" w:ascii="楷体_GB2312" w:eastAsia="楷体_GB2312"/>
          <w:sz w:val="32"/>
          <w:szCs w:val="32"/>
          <w:lang w:eastAsia="zh-CN"/>
        </w:rPr>
      </w:pPr>
      <w:r>
        <w:rPr>
          <w:rFonts w:hint="eastAsia" w:ascii="楷体_GB2312" w:eastAsia="楷体_GB2312"/>
          <w:sz w:val="32"/>
          <w:szCs w:val="32"/>
        </w:rPr>
        <w:t>部门</w:t>
      </w:r>
      <w:r>
        <w:rPr>
          <w:rFonts w:ascii="楷体_GB2312" w:eastAsia="楷体_GB2312"/>
          <w:sz w:val="32"/>
          <w:szCs w:val="32"/>
        </w:rPr>
        <w:t>预决算差异率</w:t>
      </w:r>
    </w:p>
    <w:p>
      <w:pPr>
        <w:pStyle w:val="2"/>
        <w:numPr>
          <w:ilvl w:val="0"/>
          <w:numId w:val="0"/>
        </w:numPr>
        <w:ind w:firstLine="640" w:firstLineChars="200"/>
      </w:pPr>
      <w:r>
        <w:rPr>
          <w:rFonts w:hint="eastAsia" w:ascii="仿宋_GB2312" w:hAnsi="仿宋_GB2312" w:eastAsia="仿宋_GB2312" w:cs="仿宋_GB2312"/>
          <w:b w:val="0"/>
          <w:bCs w:val="0"/>
          <w:sz w:val="32"/>
          <w:szCs w:val="32"/>
          <w:highlight w:val="none"/>
          <w:lang w:val="en-US" w:eastAsia="zh-CN"/>
        </w:rPr>
        <w:t>2024年预算评价项目98个，预算数20,095.01元，支出数18,973.40元，完成支出进度94.42%。</w:t>
      </w:r>
    </w:p>
    <w:p>
      <w:pPr>
        <w:spacing w:line="600" w:lineRule="exact"/>
        <w:ind w:left="105" w:leftChars="50" w:firstLine="480" w:firstLineChars="150"/>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p>
    <w:p>
      <w:pPr>
        <w:spacing w:line="600" w:lineRule="exact"/>
        <w:ind w:left="105" w:leftChars="50" w:firstLine="480" w:firstLineChars="150"/>
        <w:rPr>
          <w:rFonts w:hint="eastAsia" w:ascii="楷体_GB2312" w:eastAsia="楷体_GB2312"/>
          <w:sz w:val="32"/>
          <w:szCs w:val="32"/>
        </w:rPr>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pPr>
        <w:pStyle w:val="3"/>
        <w:pageBreakBefore w:val="0"/>
        <w:kinsoku/>
        <w:wordWrap/>
        <w:overflowPunct/>
        <w:topLinePunct w:val="0"/>
        <w:autoSpaceDE/>
        <w:autoSpaceDN/>
        <w:bidi w:val="0"/>
        <w:adjustRightInd w:val="0"/>
        <w:snapToGrid/>
        <w:spacing w:line="240" w:lineRule="auto"/>
        <w:ind w:left="0" w:leftChars="0" w:right="0" w:rightChars="0"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街道自评项目共计98个，从本次绩效评价的总体分析来看，大多数项目运行正常，项目投入环节操作规范、依据明确，过程环节管理严密有效，产出环节能够按时完成计划。</w:t>
      </w:r>
    </w:p>
    <w:p>
      <w:pPr>
        <w:numPr>
          <w:ilvl w:val="0"/>
          <w:numId w:val="8"/>
        </w:numPr>
        <w:spacing w:line="600" w:lineRule="exact"/>
        <w:ind w:left="105" w:leftChars="50" w:firstLine="480" w:firstLineChars="150"/>
        <w:rPr>
          <w:rFonts w:hint="eastAsia" w:ascii="楷体_GB2312" w:eastAsia="楷体_GB2312"/>
          <w:sz w:val="32"/>
          <w:szCs w:val="32"/>
        </w:rPr>
      </w:pPr>
      <w:r>
        <w:rPr>
          <w:rFonts w:hint="eastAsia" w:ascii="楷体_GB2312" w:eastAsia="楷体_GB2312"/>
          <w:sz w:val="32"/>
          <w:szCs w:val="32"/>
        </w:rPr>
        <w:t>存在的问题及原因分析</w:t>
      </w:r>
    </w:p>
    <w:p>
      <w:pPr>
        <w:pageBreakBefore w:val="0"/>
        <w:kinsoku/>
        <w:wordWrap/>
        <w:overflowPunct/>
        <w:topLinePunct w:val="0"/>
        <w:autoSpaceDE/>
        <w:autoSpaceDN/>
        <w:bidi w:val="0"/>
        <w:snapToGrid/>
        <w:spacing w:line="600" w:lineRule="exact"/>
        <w:ind w:firstLine="640" w:firstLineChars="20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1、预算编制的合理性需要提高，预算执行力度还要进一步加强。</w:t>
      </w:r>
    </w:p>
    <w:p>
      <w:pPr>
        <w:pageBreakBefore w:val="0"/>
        <w:kinsoku/>
        <w:wordWrap/>
        <w:overflowPunct/>
        <w:topLinePunct w:val="0"/>
        <w:autoSpaceDE/>
        <w:autoSpaceDN/>
        <w:bidi w:val="0"/>
        <w:adjustRightInd w:val="0"/>
        <w:snapToGrid/>
        <w:spacing w:line="240" w:lineRule="auto"/>
        <w:ind w:left="0" w:leftChars="0" w:right="0" w:rightChars="0" w:firstLine="640" w:firstLineChars="20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2、预算编制时未充分考虑到疫情等不可抗因素，对项目其合法性、合理性、可行性、可控性缺乏综合分析，造成预算无法执行。</w:t>
      </w:r>
    </w:p>
    <w:p>
      <w:pPr>
        <w:pageBreakBefore w:val="0"/>
        <w:kinsoku/>
        <w:wordWrap/>
        <w:overflowPunct/>
        <w:topLinePunct w:val="0"/>
        <w:autoSpaceDE/>
        <w:autoSpaceDN/>
        <w:bidi w:val="0"/>
        <w:snapToGrid/>
        <w:spacing w:line="240" w:lineRule="auto"/>
        <w:ind w:right="0" w:rightChars="0" w:firstLine="640" w:firstLineChars="20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3、没有从事绩效评价工作的专业人员，现有人员专业能力不足，获得业务指导和学习的途径有限。绩效管理的数据获得渠道有限，目前可量化指标仅限资金收支，其他效益性指标不会获取或不能获取。</w:t>
      </w:r>
    </w:p>
    <w:p>
      <w:pPr>
        <w:spacing w:line="600" w:lineRule="exact"/>
        <w:ind w:firstLine="640" w:firstLineChars="200"/>
      </w:pPr>
      <w:r>
        <w:rPr>
          <w:rFonts w:hint="eastAsia" w:ascii="黑体" w:hAnsi="黑体" w:eastAsia="黑体" w:cs="宋体"/>
          <w:color w:val="000000"/>
          <w:kern w:val="0"/>
          <w:sz w:val="32"/>
          <w:szCs w:val="32"/>
        </w:rPr>
        <w:t>六、措施建议</w:t>
      </w:r>
    </w:p>
    <w:p>
      <w:pPr>
        <w:pageBreakBefore w:val="0"/>
        <w:numPr>
          <w:ilvl w:val="0"/>
          <w:numId w:val="9"/>
        </w:numPr>
        <w:kinsoku/>
        <w:wordWrap/>
        <w:overflowPunct/>
        <w:topLinePunct w:val="0"/>
        <w:autoSpaceDE/>
        <w:autoSpaceDN/>
        <w:bidi w:val="0"/>
        <w:adjustRightInd w:val="0"/>
        <w:snapToGrid/>
        <w:spacing w:line="240" w:lineRule="auto"/>
        <w:ind w:left="0" w:leftChars="0" w:right="0" w:righ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提高认识，加强领导，充分认识绩效评价的重要性和必要性</w:t>
      </w:r>
      <w:r>
        <w:rPr>
          <w:rFonts w:hint="eastAsia" w:ascii="仿宋_GB2312" w:hAnsi="仿宋_GB2312" w:eastAsia="仿宋_GB2312" w:cs="仿宋_GB2312"/>
          <w:b w:val="0"/>
          <w:bCs w:val="0"/>
          <w:sz w:val="32"/>
          <w:szCs w:val="32"/>
          <w:lang w:eastAsia="zh-CN"/>
        </w:rPr>
        <w:t>，加大预算编制的前期论证、可行性研究等工作。</w:t>
      </w:r>
    </w:p>
    <w:p>
      <w:pPr>
        <w:pageBreakBefore w:val="0"/>
        <w:numPr>
          <w:ilvl w:val="0"/>
          <w:numId w:val="9"/>
        </w:numPr>
        <w:kinsoku/>
        <w:wordWrap/>
        <w:overflowPunct/>
        <w:topLinePunct w:val="0"/>
        <w:autoSpaceDE/>
        <w:autoSpaceDN/>
        <w:bidi w:val="0"/>
        <w:adjustRightInd w:val="0"/>
        <w:snapToGrid/>
        <w:spacing w:line="240" w:lineRule="auto"/>
        <w:ind w:left="0" w:leftChars="0" w:right="0" w:righ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加大绩效</w:t>
      </w:r>
      <w:r>
        <w:rPr>
          <w:rFonts w:hint="eastAsia" w:ascii="仿宋_GB2312" w:hAnsi="仿宋_GB2312" w:eastAsia="仿宋_GB2312" w:cs="仿宋_GB2312"/>
          <w:b w:val="0"/>
          <w:bCs w:val="0"/>
          <w:sz w:val="32"/>
          <w:szCs w:val="32"/>
          <w:lang w:eastAsia="zh-CN"/>
        </w:rPr>
        <w:t>跟踪、绩效评价</w:t>
      </w:r>
      <w:r>
        <w:rPr>
          <w:rFonts w:hint="eastAsia" w:ascii="仿宋_GB2312" w:hAnsi="仿宋_GB2312" w:eastAsia="仿宋_GB2312" w:cs="仿宋_GB2312"/>
          <w:b w:val="0"/>
          <w:bCs w:val="0"/>
          <w:sz w:val="32"/>
          <w:szCs w:val="32"/>
        </w:rPr>
        <w:t>工作推进力度。</w:t>
      </w:r>
      <w:r>
        <w:rPr>
          <w:rFonts w:hint="eastAsia" w:ascii="仿宋_GB2312" w:hAnsi="仿宋_GB2312" w:eastAsia="仿宋_GB2312" w:cs="仿宋_GB2312"/>
          <w:b w:val="0"/>
          <w:bCs w:val="0"/>
          <w:sz w:val="32"/>
          <w:szCs w:val="32"/>
          <w:lang w:eastAsia="zh-CN"/>
        </w:rPr>
        <w:t>对于未达到预期绩效目标或者执行进度滞后的项目，提出整改措施。</w:t>
      </w:r>
      <w:r>
        <w:rPr>
          <w:rFonts w:hint="eastAsia" w:ascii="仿宋_GB2312" w:hAnsi="仿宋_GB2312" w:eastAsia="仿宋_GB2312" w:cs="仿宋_GB2312"/>
          <w:b w:val="0"/>
          <w:bCs w:val="0"/>
          <w:sz w:val="32"/>
          <w:szCs w:val="32"/>
        </w:rPr>
        <w:t>积极开展部门绩效评价自评工作，努力探索工作方法，积累工作经验。</w:t>
      </w:r>
    </w:p>
    <w:p>
      <w:pPr>
        <w:ind w:firstLine="640" w:firstLineChars="200"/>
        <w:rPr>
          <w:rFonts w:hint="eastAsia" w:ascii="方正小标宋简体" w:eastAsia="方正小标宋简体"/>
          <w:sz w:val="36"/>
          <w:szCs w:val="36"/>
        </w:rPr>
      </w:pPr>
      <w:r>
        <w:rPr>
          <w:rFonts w:hint="eastAsia" w:ascii="仿宋_GB2312" w:hAnsi="仿宋_GB2312" w:eastAsia="仿宋_GB2312" w:cs="仿宋_GB2312"/>
          <w:b w:val="0"/>
          <w:bCs w:val="0"/>
          <w:sz w:val="32"/>
          <w:szCs w:val="32"/>
          <w:lang w:eastAsia="zh-CN"/>
        </w:rPr>
        <w:t>建议：由于</w:t>
      </w:r>
      <w:r>
        <w:rPr>
          <w:rFonts w:hint="eastAsia" w:ascii="仿宋_GB2312" w:hAnsi="仿宋_GB2312" w:eastAsia="仿宋_GB2312" w:cs="仿宋_GB2312"/>
          <w:b w:val="0"/>
          <w:bCs w:val="0"/>
          <w:sz w:val="32"/>
          <w:szCs w:val="32"/>
        </w:rPr>
        <w:t>绩效评价涉及的专业知识较广泛，希望区财政对绩效评价工作多进行指导培训，进一步推进街道绩效评价工作的扎实开展。</w:t>
      </w:r>
      <w:r>
        <w:rPr>
          <w:rFonts w:hint="eastAsia" w:ascii="方正小标宋简体" w:eastAsia="方正小标宋简体"/>
          <w:sz w:val="36"/>
          <w:szCs w:val="36"/>
        </w:rPr>
        <w:t xml:space="preserve"> </w:t>
      </w:r>
    </w:p>
    <w:p>
      <w:pPr>
        <w:pStyle w:val="2"/>
      </w:pPr>
    </w:p>
    <w:p>
      <w:pPr>
        <w:pageBreakBefore w:val="0"/>
        <w:numPr>
          <w:ilvl w:val="0"/>
          <w:numId w:val="0"/>
        </w:numPr>
        <w:kinsoku/>
        <w:wordWrap/>
        <w:overflowPunct/>
        <w:topLinePunct w:val="0"/>
        <w:autoSpaceDE/>
        <w:autoSpaceDN/>
        <w:bidi w:val="0"/>
        <w:adjustRightInd w:val="0"/>
        <w:snapToGrid/>
        <w:spacing w:line="240" w:lineRule="auto"/>
        <w:ind w:left="4900" w:leftChars="200" w:right="0" w:rightChars="0" w:hanging="4480" w:hangingChars="14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w:t>
      </w:r>
      <w:bookmarkStart w:id="0" w:name="_GoBack"/>
      <w:bookmarkEnd w:id="0"/>
    </w:p>
    <w:p>
      <w:pPr>
        <w:pageBreakBefore w:val="0"/>
        <w:numPr>
          <w:ilvl w:val="0"/>
          <w:numId w:val="0"/>
        </w:numPr>
        <w:kinsoku/>
        <w:wordWrap/>
        <w:overflowPunct/>
        <w:topLinePunct w:val="0"/>
        <w:autoSpaceDE/>
        <w:autoSpaceDN/>
        <w:bidi w:val="0"/>
        <w:adjustRightInd w:val="0"/>
        <w:snapToGrid/>
        <w:spacing w:line="240" w:lineRule="auto"/>
        <w:ind w:right="0" w:rightChars="0" w:firstLine="4800" w:firstLineChars="1500"/>
        <w:textAlignment w:val="auto"/>
        <w:rPr>
          <w:rFonts w:hint="eastAsia" w:ascii="仿宋_GB2312" w:hAnsi="仿宋_GB2312" w:eastAsia="仿宋_GB2312" w:cs="仿宋_GB2312"/>
          <w:b w:val="0"/>
          <w:bCs w:val="0"/>
          <w:sz w:val="32"/>
          <w:szCs w:val="32"/>
          <w:lang w:val="en-US" w:eastAsia="zh-CN"/>
        </w:rPr>
      </w:pPr>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Arial Unicode MS"/>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楷体_GB2312">
    <w:altName w:val="楷体"/>
    <w:panose1 w:val="02010609030101010101"/>
    <w:charset w:val="86"/>
    <w:family w:val="swiss"/>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E636A6"/>
    <w:multiLevelType w:val="singleLevel"/>
    <w:tmpl w:val="61E636A6"/>
    <w:lvl w:ilvl="0" w:tentative="0">
      <w:start w:val="1"/>
      <w:numFmt w:val="decimal"/>
      <w:suff w:val="nothing"/>
      <w:lvlText w:val="%1、"/>
      <w:lvlJc w:val="left"/>
    </w:lvl>
  </w:abstractNum>
  <w:abstractNum w:abstractNumId="1">
    <w:nsid w:val="65FC0484"/>
    <w:multiLevelType w:val="singleLevel"/>
    <w:tmpl w:val="65FC0484"/>
    <w:lvl w:ilvl="0" w:tentative="0">
      <w:start w:val="2"/>
      <w:numFmt w:val="decimal"/>
      <w:suff w:val="nothing"/>
      <w:lvlText w:val="%1."/>
      <w:lvlJc w:val="left"/>
    </w:lvl>
  </w:abstractNum>
  <w:abstractNum w:abstractNumId="2">
    <w:nsid w:val="65FC0492"/>
    <w:multiLevelType w:val="singleLevel"/>
    <w:tmpl w:val="65FC0492"/>
    <w:lvl w:ilvl="0" w:tentative="0">
      <w:start w:val="3"/>
      <w:numFmt w:val="decimal"/>
      <w:suff w:val="nothing"/>
      <w:lvlText w:val="%1."/>
      <w:lvlJc w:val="left"/>
    </w:lvl>
  </w:abstractNum>
  <w:abstractNum w:abstractNumId="3">
    <w:nsid w:val="67AF2419"/>
    <w:multiLevelType w:val="singleLevel"/>
    <w:tmpl w:val="67AF2419"/>
    <w:lvl w:ilvl="0" w:tentative="0">
      <w:start w:val="2"/>
      <w:numFmt w:val="decimal"/>
      <w:suff w:val="nothing"/>
      <w:lvlText w:val="%1."/>
      <w:lvlJc w:val="left"/>
    </w:lvl>
  </w:abstractNum>
  <w:abstractNum w:abstractNumId="4">
    <w:nsid w:val="67AF2466"/>
    <w:multiLevelType w:val="singleLevel"/>
    <w:tmpl w:val="67AF2466"/>
    <w:lvl w:ilvl="0" w:tentative="0">
      <w:start w:val="2"/>
      <w:numFmt w:val="decimal"/>
      <w:suff w:val="nothing"/>
      <w:lvlText w:val="%1."/>
      <w:lvlJc w:val="left"/>
    </w:lvl>
  </w:abstractNum>
  <w:abstractNum w:abstractNumId="5">
    <w:nsid w:val="67AF247F"/>
    <w:multiLevelType w:val="singleLevel"/>
    <w:tmpl w:val="67AF247F"/>
    <w:lvl w:ilvl="0" w:tentative="0">
      <w:start w:val="4"/>
      <w:numFmt w:val="decimal"/>
      <w:suff w:val="nothing"/>
      <w:lvlText w:val="%1."/>
      <w:lvlJc w:val="left"/>
    </w:lvl>
  </w:abstractNum>
  <w:abstractNum w:abstractNumId="6">
    <w:nsid w:val="67AF248B"/>
    <w:multiLevelType w:val="singleLevel"/>
    <w:tmpl w:val="67AF248B"/>
    <w:lvl w:ilvl="0" w:tentative="0">
      <w:start w:val="5"/>
      <w:numFmt w:val="decimal"/>
      <w:suff w:val="nothing"/>
      <w:lvlText w:val="%1."/>
      <w:lvlJc w:val="left"/>
    </w:lvl>
  </w:abstractNum>
  <w:abstractNum w:abstractNumId="7">
    <w:nsid w:val="67AF24F7"/>
    <w:multiLevelType w:val="singleLevel"/>
    <w:tmpl w:val="67AF24F7"/>
    <w:lvl w:ilvl="0" w:tentative="0">
      <w:start w:val="2"/>
      <w:numFmt w:val="chineseCounting"/>
      <w:suff w:val="nothing"/>
      <w:lvlText w:val="（%1）"/>
      <w:lvlJc w:val="left"/>
    </w:lvl>
  </w:abstractNum>
  <w:abstractNum w:abstractNumId="8">
    <w:nsid w:val="67AF2744"/>
    <w:multiLevelType w:val="singleLevel"/>
    <w:tmpl w:val="67AF2744"/>
    <w:lvl w:ilvl="0" w:tentative="0">
      <w:start w:val="2"/>
      <w:numFmt w:val="chineseCounting"/>
      <w:suff w:val="nothing"/>
      <w:lvlText w:val="（%1）"/>
      <w:lvlJc w:val="left"/>
    </w:lvl>
  </w:abstractNum>
  <w:num w:numId="1">
    <w:abstractNumId w:val="3"/>
  </w:num>
  <w:num w:numId="2">
    <w:abstractNumId w:val="4"/>
  </w:num>
  <w:num w:numId="3">
    <w:abstractNumId w:val="5"/>
  </w:num>
  <w:num w:numId="4">
    <w:abstractNumId w:val="6"/>
  </w:num>
  <w:num w:numId="5">
    <w:abstractNumId w:val="1"/>
  </w:num>
  <w:num w:numId="6">
    <w:abstractNumId w:val="2"/>
  </w:num>
  <w:num w:numId="7">
    <w:abstractNumId w:val="7"/>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1D39DF"/>
    <w:rsid w:val="001C7834"/>
    <w:rsid w:val="0057202C"/>
    <w:rsid w:val="005E3946"/>
    <w:rsid w:val="00B03B70"/>
    <w:rsid w:val="00CF07EE"/>
    <w:rsid w:val="00E617B2"/>
    <w:rsid w:val="00F42C33"/>
    <w:rsid w:val="0AF62277"/>
    <w:rsid w:val="1A3A7BAD"/>
    <w:rsid w:val="1C333B96"/>
    <w:rsid w:val="1CFA34F8"/>
    <w:rsid w:val="1FEB6849"/>
    <w:rsid w:val="203C0687"/>
    <w:rsid w:val="255D778F"/>
    <w:rsid w:val="2F321339"/>
    <w:rsid w:val="38FA6059"/>
    <w:rsid w:val="3DFA317F"/>
    <w:rsid w:val="3EF429DA"/>
    <w:rsid w:val="44BC528E"/>
    <w:rsid w:val="508907F8"/>
    <w:rsid w:val="593D2120"/>
    <w:rsid w:val="5B1D39DF"/>
    <w:rsid w:val="5E423AFE"/>
    <w:rsid w:val="5F61416D"/>
    <w:rsid w:val="603A3D29"/>
    <w:rsid w:val="69C91FDD"/>
    <w:rsid w:val="6FF3656C"/>
    <w:rsid w:val="77D472F3"/>
    <w:rsid w:val="7E95566C"/>
    <w:rsid w:val="7F51712D"/>
    <w:rsid w:val="7F941D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keepNext/>
      <w:keepLines/>
      <w:jc w:val="left"/>
      <w:outlineLvl w:val="1"/>
    </w:pPr>
    <w:rPr>
      <w:rFonts w:ascii="Cambria" w:hAnsi="Cambria" w:cs="Cambria"/>
      <w:sz w:val="36"/>
      <w:szCs w:val="36"/>
    </w:rPr>
  </w:style>
  <w:style w:type="character" w:default="1" w:styleId="8">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uiPriority w:val="0"/>
    <w:pPr>
      <w:spacing w:after="120"/>
    </w:pPr>
  </w:style>
  <w:style w:type="paragraph" w:styleId="4">
    <w:name w:val="Normal Indent"/>
    <w:basedOn w:val="1"/>
    <w:unhideWhenUsed/>
    <w:uiPriority w:val="0"/>
    <w:pPr>
      <w:ind w:firstLine="200" w:firstLineChars="200"/>
    </w:pPr>
  </w:style>
  <w:style w:type="paragraph" w:styleId="5">
    <w:name w:val="footer"/>
    <w:basedOn w:val="1"/>
    <w:qFormat/>
    <w:uiPriority w:val="0"/>
    <w:pPr>
      <w:tabs>
        <w:tab w:val="center" w:pos="4153"/>
        <w:tab w:val="right" w:pos="8306"/>
      </w:tabs>
      <w:snapToGrid w:val="0"/>
      <w:jc w:val="left"/>
    </w:pPr>
    <w:rPr>
      <w:sz w:val="18"/>
      <w:szCs w:val="20"/>
    </w:rPr>
  </w:style>
  <w:style w:type="paragraph" w:styleId="6">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字符"/>
    <w:basedOn w:val="8"/>
    <w:link w:val="6"/>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75</Words>
  <Characters>430</Characters>
  <Lines>3</Lines>
  <Paragraphs>1</Paragraphs>
  <TotalTime>1</TotalTime>
  <ScaleCrop>false</ScaleCrop>
  <LinksUpToDate>false</LinksUpToDate>
  <CharactersWithSpaces>504</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2024-01-18T03:00:00Z</dcterms:created>
  <dc:creator>Administrator</dc:creator>
  <cp:lastModifiedBy>Q</cp:lastModifiedBy>
  <cp:lastPrinted>2025-01-16T06:24:00Z</cp:lastPrinted>
  <dcterms:modified xsi:type="dcterms:W3CDTF">2025-08-28T06:33:19Z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